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CA4A961">
      <w:pPr>
        <w:spacing w:beforeLines="0" w:afterLines="0"/>
        <w:jc w:val="center"/>
        <w:rPr>
          <w:rFonts w:hint="default"/>
          <w:b/>
          <w:sz w:val="32"/>
          <w:szCs w:val="22"/>
        </w:rPr>
      </w:pPr>
      <w:r>
        <w:rPr>
          <w:rFonts w:hint="default"/>
          <w:b/>
          <w:sz w:val="32"/>
          <w:szCs w:val="22"/>
        </w:rPr>
        <w:t>EJM560/4-2</w:t>
      </w:r>
      <w:r>
        <w:rPr>
          <w:rFonts w:hint="eastAsia"/>
          <w:b/>
          <w:sz w:val="32"/>
          <w:szCs w:val="22"/>
        </w:rPr>
        <w:t>型掘锚一体机设计任务书</w:t>
      </w:r>
    </w:p>
    <w:p w14:paraId="0BE6D364">
      <w:pPr>
        <w:spacing w:beforeLines="0" w:afterLines="0"/>
        <w:rPr>
          <w:rFonts w:hint="default"/>
          <w:b/>
          <w:sz w:val="21"/>
          <w:szCs w:val="22"/>
        </w:rPr>
      </w:pPr>
      <w:r>
        <w:rPr>
          <w:rFonts w:hint="default"/>
          <w:b/>
          <w:sz w:val="21"/>
          <w:szCs w:val="22"/>
        </w:rPr>
        <w:t>EJM560/4-2</w:t>
      </w:r>
      <w:r>
        <w:rPr>
          <w:rFonts w:hint="eastAsia"/>
          <w:b/>
          <w:sz w:val="21"/>
          <w:szCs w:val="22"/>
        </w:rPr>
        <w:t>是一种在半煤岩工况下能完成掘锚作业，全煤工况下可以更加高效截割的掘锚一体机机，整体方案参数；</w:t>
      </w:r>
    </w:p>
    <w:p w14:paraId="482320CC">
      <w:pPr>
        <w:pStyle w:val="4"/>
        <w:numPr>
          <w:ilvl w:val="0"/>
          <w:numId w:val="1"/>
        </w:numPr>
        <w:spacing w:beforeLines="0" w:afterLines="0"/>
        <w:ind w:firstLineChars="0"/>
        <w:rPr>
          <w:rFonts w:hint="default"/>
          <w:b/>
          <w:sz w:val="21"/>
          <w:szCs w:val="22"/>
        </w:rPr>
      </w:pPr>
      <w:r>
        <w:rPr>
          <w:rFonts w:hint="eastAsia"/>
          <w:b/>
          <w:sz w:val="21"/>
          <w:szCs w:val="22"/>
        </w:rPr>
        <w:t>功能、参数、智能化，哪些是行业领先；</w:t>
      </w:r>
    </w:p>
    <w:p w14:paraId="68EB3E4D">
      <w:pPr>
        <w:pStyle w:val="4"/>
        <w:numPr>
          <w:ilvl w:val="0"/>
          <w:numId w:val="1"/>
        </w:numPr>
        <w:spacing w:beforeLines="0" w:afterLines="0"/>
        <w:ind w:firstLineChars="0"/>
        <w:rPr>
          <w:rFonts w:hint="default"/>
          <w:b/>
          <w:sz w:val="21"/>
          <w:szCs w:val="22"/>
        </w:rPr>
      </w:pPr>
      <w:r>
        <w:rPr>
          <w:rFonts w:hint="eastAsia"/>
          <w:b/>
          <w:sz w:val="21"/>
          <w:szCs w:val="22"/>
        </w:rPr>
        <w:t>更接近于客户需求；</w:t>
      </w:r>
    </w:p>
    <w:p w14:paraId="574DE74A">
      <w:pPr>
        <w:pStyle w:val="4"/>
        <w:numPr>
          <w:ilvl w:val="0"/>
          <w:numId w:val="1"/>
        </w:numPr>
        <w:spacing w:beforeLines="0" w:afterLines="0"/>
        <w:ind w:firstLineChars="0"/>
        <w:rPr>
          <w:rFonts w:hint="default"/>
          <w:b/>
          <w:sz w:val="21"/>
          <w:szCs w:val="22"/>
        </w:rPr>
      </w:pPr>
      <w:r>
        <w:rPr>
          <w:rFonts w:hint="eastAsia"/>
          <w:b/>
          <w:sz w:val="21"/>
          <w:szCs w:val="22"/>
        </w:rPr>
        <w:t>年前现场考察现有设备；组织现场讨论。</w:t>
      </w:r>
    </w:p>
    <w:p w14:paraId="61AFA0F2">
      <w:pPr>
        <w:spacing w:beforeLines="0" w:afterLines="0"/>
        <w:rPr>
          <w:rFonts w:hint="default"/>
          <w:sz w:val="21"/>
          <w:szCs w:val="22"/>
        </w:rPr>
      </w:pPr>
      <w:r>
        <w:rPr>
          <w:rFonts w:hint="eastAsia"/>
          <w:sz w:val="21"/>
          <w:szCs w:val="22"/>
        </w:rPr>
        <w:t>总体长度：≤</w:t>
      </w:r>
      <w:r>
        <w:rPr>
          <w:rFonts w:hint="default"/>
          <w:sz w:val="21"/>
          <w:szCs w:val="22"/>
        </w:rPr>
        <w:t>12000mm</w:t>
      </w:r>
    </w:p>
    <w:p w14:paraId="79563E35">
      <w:pPr>
        <w:spacing w:beforeLines="0" w:afterLines="0"/>
        <w:rPr>
          <w:rFonts w:hint="default"/>
          <w:sz w:val="21"/>
          <w:szCs w:val="22"/>
        </w:rPr>
      </w:pPr>
      <w:r>
        <w:rPr>
          <w:rFonts w:hint="eastAsia"/>
          <w:sz w:val="21"/>
          <w:szCs w:val="22"/>
        </w:rPr>
        <w:t>总体高度：</w:t>
      </w:r>
      <w:r>
        <w:rPr>
          <w:rFonts w:hint="default"/>
          <w:sz w:val="21"/>
          <w:szCs w:val="22"/>
        </w:rPr>
        <w:t>2400mm</w:t>
      </w:r>
      <w:r>
        <w:rPr>
          <w:rFonts w:hint="eastAsia"/>
          <w:sz w:val="21"/>
          <w:szCs w:val="22"/>
        </w:rPr>
        <w:t>（物料框，安全棚等高度）</w:t>
      </w:r>
      <w:r>
        <w:rPr>
          <w:rFonts w:hint="default"/>
          <w:sz w:val="21"/>
          <w:szCs w:val="22"/>
        </w:rPr>
        <w:t>2600</w:t>
      </w:r>
      <w:r>
        <w:rPr>
          <w:rFonts w:hint="eastAsia"/>
          <w:sz w:val="21"/>
          <w:szCs w:val="22"/>
        </w:rPr>
        <w:t>（临时支护高度）</w:t>
      </w:r>
    </w:p>
    <w:p w14:paraId="46FC0520">
      <w:pPr>
        <w:spacing w:beforeLines="0" w:afterLines="0"/>
        <w:rPr>
          <w:rFonts w:hint="default"/>
          <w:sz w:val="21"/>
          <w:szCs w:val="22"/>
        </w:rPr>
      </w:pPr>
      <w:r>
        <w:rPr>
          <w:rFonts w:hint="eastAsia"/>
          <w:sz w:val="21"/>
          <w:szCs w:val="22"/>
        </w:rPr>
        <w:t>截割高度范围：</w:t>
      </w:r>
      <w:r>
        <w:rPr>
          <w:rFonts w:hint="default"/>
          <w:sz w:val="21"/>
          <w:szCs w:val="22"/>
        </w:rPr>
        <w:t>2800mm-4500mm</w:t>
      </w:r>
    </w:p>
    <w:p w14:paraId="10E7D8A5">
      <w:pPr>
        <w:spacing w:beforeLines="0" w:afterLines="0"/>
        <w:rPr>
          <w:rFonts w:hint="default"/>
          <w:sz w:val="21"/>
          <w:szCs w:val="22"/>
        </w:rPr>
      </w:pPr>
      <w:r>
        <w:rPr>
          <w:rFonts w:hint="eastAsia"/>
          <w:sz w:val="21"/>
          <w:szCs w:val="22"/>
        </w:rPr>
        <w:t>顶板锚护高度范围：</w:t>
      </w:r>
      <w:r>
        <w:rPr>
          <w:rFonts w:hint="default"/>
          <w:sz w:val="21"/>
          <w:szCs w:val="22"/>
        </w:rPr>
        <w:t>2800mm-4500mm</w:t>
      </w:r>
    </w:p>
    <w:p w14:paraId="244FA89F">
      <w:pPr>
        <w:spacing w:beforeLines="0" w:afterLines="0"/>
        <w:rPr>
          <w:rFonts w:hint="default"/>
          <w:sz w:val="21"/>
          <w:szCs w:val="22"/>
        </w:rPr>
      </w:pPr>
      <w:r>
        <w:rPr>
          <w:rFonts w:hint="eastAsia"/>
          <w:sz w:val="21"/>
          <w:szCs w:val="22"/>
        </w:rPr>
        <w:t>侧帮锚护升降距离：</w:t>
      </w:r>
      <w:r>
        <w:rPr>
          <w:rFonts w:hint="default"/>
          <w:sz w:val="21"/>
          <w:szCs w:val="22"/>
        </w:rPr>
        <w:t>≥1000mm</w:t>
      </w:r>
      <w:r>
        <w:rPr>
          <w:rFonts w:hint="eastAsia"/>
          <w:sz w:val="21"/>
          <w:szCs w:val="22"/>
        </w:rPr>
        <w:t>；</w:t>
      </w:r>
    </w:p>
    <w:p w14:paraId="52B73528">
      <w:pPr>
        <w:spacing w:beforeLines="0" w:afterLines="0"/>
        <w:rPr>
          <w:rFonts w:hint="default"/>
          <w:sz w:val="21"/>
          <w:szCs w:val="22"/>
        </w:rPr>
      </w:pPr>
      <w:r>
        <w:rPr>
          <w:rFonts w:hint="eastAsia"/>
          <w:sz w:val="21"/>
          <w:szCs w:val="22"/>
        </w:rPr>
        <w:t>测帮锚护距离顶锚理论距离：</w:t>
      </w:r>
      <w:r>
        <w:rPr>
          <w:rFonts w:hint="default"/>
          <w:sz w:val="21"/>
          <w:szCs w:val="22"/>
        </w:rPr>
        <w:t>1600-2000mm</w:t>
      </w:r>
      <w:r>
        <w:rPr>
          <w:rFonts w:hint="eastAsia"/>
          <w:sz w:val="21"/>
          <w:szCs w:val="22"/>
        </w:rPr>
        <w:t>；（滑动行程</w:t>
      </w:r>
      <w:r>
        <w:rPr>
          <w:rFonts w:hint="default"/>
          <w:sz w:val="21"/>
          <w:szCs w:val="22"/>
        </w:rPr>
        <w:t>400mm</w:t>
      </w:r>
      <w:r>
        <w:rPr>
          <w:rFonts w:hint="eastAsia"/>
          <w:sz w:val="21"/>
          <w:szCs w:val="22"/>
        </w:rPr>
        <w:t>）</w:t>
      </w:r>
    </w:p>
    <w:p w14:paraId="5FB87632">
      <w:pPr>
        <w:spacing w:beforeLines="0" w:afterLines="0"/>
        <w:rPr>
          <w:rFonts w:hint="default"/>
          <w:sz w:val="21"/>
          <w:szCs w:val="22"/>
        </w:rPr>
      </w:pPr>
      <w:r>
        <w:rPr>
          <w:rFonts w:hint="eastAsia"/>
          <w:sz w:val="21"/>
          <w:szCs w:val="22"/>
        </w:rPr>
        <w:t>临时支护高度：</w:t>
      </w:r>
      <w:r>
        <w:rPr>
          <w:rFonts w:hint="default"/>
          <w:sz w:val="21"/>
          <w:szCs w:val="22"/>
        </w:rPr>
        <w:t>2600(2400)-4700</w:t>
      </w:r>
    </w:p>
    <w:p w14:paraId="177C8329">
      <w:pPr>
        <w:spacing w:beforeLines="0" w:afterLines="0"/>
        <w:rPr>
          <w:rFonts w:hint="default"/>
          <w:sz w:val="21"/>
          <w:szCs w:val="22"/>
        </w:rPr>
      </w:pPr>
      <w:r>
        <w:rPr>
          <w:rFonts w:hint="eastAsia"/>
          <w:sz w:val="21"/>
          <w:szCs w:val="22"/>
        </w:rPr>
        <w:t>总体宽度：</w:t>
      </w:r>
      <w:r>
        <w:rPr>
          <w:rFonts w:hint="default"/>
          <w:sz w:val="21"/>
          <w:szCs w:val="22"/>
        </w:rPr>
        <w:t>5.4-6.5</w:t>
      </w:r>
    </w:p>
    <w:p w14:paraId="595CD6EB">
      <w:pPr>
        <w:spacing w:beforeLines="0" w:afterLines="0"/>
        <w:rPr>
          <w:rFonts w:hint="default"/>
          <w:sz w:val="21"/>
          <w:szCs w:val="22"/>
        </w:rPr>
      </w:pPr>
      <w:r>
        <w:rPr>
          <w:rFonts w:hint="eastAsia"/>
          <w:sz w:val="21"/>
          <w:szCs w:val="22"/>
        </w:rPr>
        <w:t>底盘机身宽度：</w:t>
      </w:r>
      <w:r>
        <w:rPr>
          <w:rFonts w:hint="default"/>
          <w:sz w:val="21"/>
          <w:szCs w:val="22"/>
        </w:rPr>
        <w:t>3400mm</w:t>
      </w:r>
    </w:p>
    <w:p w14:paraId="1677CA3C">
      <w:pPr>
        <w:spacing w:beforeLines="0" w:afterLines="0"/>
        <w:rPr>
          <w:rFonts w:hint="default"/>
          <w:sz w:val="21"/>
          <w:szCs w:val="22"/>
        </w:rPr>
      </w:pPr>
      <w:r>
        <w:rPr>
          <w:rFonts w:hint="eastAsia"/>
          <w:sz w:val="21"/>
          <w:szCs w:val="22"/>
        </w:rPr>
        <w:t>适应坡度：适应巷道坡度行走时（纵向</w:t>
      </w:r>
      <w:r>
        <w:rPr>
          <w:rFonts w:hint="default"/>
          <w:sz w:val="21"/>
          <w:szCs w:val="22"/>
        </w:rPr>
        <w:t>0-18</w:t>
      </w:r>
      <w:r>
        <w:rPr>
          <w:rFonts w:hint="eastAsia"/>
          <w:sz w:val="21"/>
          <w:szCs w:val="22"/>
        </w:rPr>
        <w:t>°</w:t>
      </w:r>
      <w:r>
        <w:rPr>
          <w:rFonts w:hint="default"/>
          <w:sz w:val="21"/>
          <w:szCs w:val="22"/>
        </w:rPr>
        <w:t>,</w:t>
      </w:r>
      <w:r>
        <w:rPr>
          <w:rFonts w:hint="eastAsia"/>
          <w:sz w:val="21"/>
          <w:szCs w:val="22"/>
        </w:rPr>
        <w:t>横向</w:t>
      </w:r>
      <w:r>
        <w:rPr>
          <w:rFonts w:hint="default"/>
          <w:sz w:val="21"/>
          <w:szCs w:val="22"/>
        </w:rPr>
        <w:t>0-4</w:t>
      </w:r>
      <w:r>
        <w:rPr>
          <w:rFonts w:hint="eastAsia"/>
          <w:sz w:val="21"/>
          <w:szCs w:val="22"/>
        </w:rPr>
        <w:t>°</w:t>
      </w:r>
      <w:r>
        <w:rPr>
          <w:rFonts w:hint="default"/>
          <w:sz w:val="21"/>
          <w:szCs w:val="22"/>
        </w:rPr>
        <w:t>)</w:t>
      </w:r>
      <w:r>
        <w:rPr>
          <w:rFonts w:hint="eastAsia"/>
          <w:sz w:val="21"/>
          <w:szCs w:val="22"/>
        </w:rPr>
        <w:t>；截割时（纵向</w:t>
      </w:r>
      <w:r>
        <w:rPr>
          <w:rFonts w:hint="default"/>
          <w:sz w:val="21"/>
          <w:szCs w:val="22"/>
        </w:rPr>
        <w:t>0-18</w:t>
      </w:r>
      <w:r>
        <w:rPr>
          <w:rFonts w:hint="eastAsia"/>
          <w:sz w:val="21"/>
          <w:szCs w:val="22"/>
        </w:rPr>
        <w:t>°</w:t>
      </w:r>
      <w:r>
        <w:rPr>
          <w:rFonts w:hint="default"/>
          <w:sz w:val="21"/>
          <w:szCs w:val="22"/>
        </w:rPr>
        <w:t>,</w:t>
      </w:r>
    </w:p>
    <w:p w14:paraId="40E2C62C">
      <w:pPr>
        <w:spacing w:beforeLines="0" w:afterLines="0"/>
        <w:rPr>
          <w:rFonts w:hint="default"/>
          <w:sz w:val="21"/>
          <w:szCs w:val="22"/>
        </w:rPr>
      </w:pPr>
      <w:r>
        <w:rPr>
          <w:rFonts w:hint="eastAsia"/>
          <w:sz w:val="21"/>
          <w:szCs w:val="22"/>
        </w:rPr>
        <w:t>横向</w:t>
      </w:r>
      <w:r>
        <w:rPr>
          <w:rFonts w:hint="default"/>
          <w:sz w:val="21"/>
          <w:szCs w:val="22"/>
        </w:rPr>
        <w:t>0-4</w:t>
      </w:r>
      <w:r>
        <w:rPr>
          <w:rFonts w:hint="eastAsia"/>
          <w:sz w:val="21"/>
          <w:szCs w:val="22"/>
        </w:rPr>
        <w:t>°</w:t>
      </w:r>
      <w:r>
        <w:rPr>
          <w:rFonts w:hint="default"/>
          <w:sz w:val="21"/>
          <w:szCs w:val="22"/>
        </w:rPr>
        <w:t>)</w:t>
      </w:r>
      <w:r>
        <w:rPr>
          <w:rFonts w:hint="eastAsia"/>
          <w:sz w:val="21"/>
          <w:szCs w:val="22"/>
        </w:rPr>
        <w:t>；</w:t>
      </w:r>
    </w:p>
    <w:p w14:paraId="44772F55">
      <w:pPr>
        <w:spacing w:beforeLines="0" w:afterLines="0"/>
        <w:rPr>
          <w:rFonts w:hint="default"/>
          <w:sz w:val="21"/>
          <w:szCs w:val="22"/>
        </w:rPr>
      </w:pPr>
      <w:r>
        <w:rPr>
          <w:rFonts w:hint="eastAsia"/>
          <w:sz w:val="21"/>
          <w:szCs w:val="22"/>
        </w:rPr>
        <w:t>截割头卧底深度：</w:t>
      </w:r>
      <w:r>
        <w:rPr>
          <w:rFonts w:hint="default"/>
          <w:sz w:val="21"/>
          <w:szCs w:val="22"/>
        </w:rPr>
        <w:t>180mm</w:t>
      </w:r>
      <w:r>
        <w:rPr>
          <w:rFonts w:hint="eastAsia"/>
          <w:sz w:val="21"/>
          <w:szCs w:val="22"/>
        </w:rPr>
        <w:t>（掏槽位置）</w:t>
      </w:r>
    </w:p>
    <w:p w14:paraId="0DB8E13E">
      <w:pPr>
        <w:spacing w:beforeLines="0" w:afterLines="0"/>
        <w:rPr>
          <w:rFonts w:hint="default"/>
          <w:sz w:val="21"/>
          <w:szCs w:val="22"/>
        </w:rPr>
      </w:pPr>
      <w:r>
        <w:rPr>
          <w:rFonts w:hint="eastAsia"/>
          <w:sz w:val="21"/>
          <w:szCs w:val="22"/>
        </w:rPr>
        <w:t>铲板卧底深度：</w:t>
      </w:r>
      <w:r>
        <w:rPr>
          <w:rFonts w:hint="default"/>
          <w:sz w:val="21"/>
          <w:szCs w:val="22"/>
        </w:rPr>
        <w:t>120mm</w:t>
      </w:r>
    </w:p>
    <w:p w14:paraId="50666759">
      <w:pPr>
        <w:spacing w:beforeLines="0" w:afterLines="0"/>
        <w:rPr>
          <w:rFonts w:hint="default"/>
          <w:sz w:val="21"/>
          <w:szCs w:val="22"/>
        </w:rPr>
      </w:pPr>
      <w:r>
        <w:rPr>
          <w:rFonts w:hint="eastAsia"/>
          <w:sz w:val="21"/>
          <w:szCs w:val="22"/>
        </w:rPr>
        <w:t>单个循环推进行程：</w:t>
      </w:r>
      <w:r>
        <w:rPr>
          <w:rFonts w:hint="default"/>
          <w:sz w:val="21"/>
          <w:szCs w:val="22"/>
        </w:rPr>
        <w:t>1.0m</w:t>
      </w:r>
    </w:p>
    <w:p w14:paraId="1252A60E">
      <w:pPr>
        <w:spacing w:beforeLines="0" w:afterLines="0"/>
        <w:rPr>
          <w:rFonts w:hint="default"/>
          <w:sz w:val="21"/>
          <w:szCs w:val="22"/>
        </w:rPr>
      </w:pPr>
      <w:r>
        <w:rPr>
          <w:rFonts w:hint="eastAsia"/>
          <w:sz w:val="21"/>
          <w:szCs w:val="22"/>
        </w:rPr>
        <w:t>作业形式：掘锚并行作业</w:t>
      </w:r>
    </w:p>
    <w:p w14:paraId="6B08414E">
      <w:pPr>
        <w:spacing w:beforeLines="0" w:afterLines="0"/>
        <w:rPr>
          <w:rFonts w:hint="default"/>
          <w:sz w:val="21"/>
          <w:szCs w:val="22"/>
        </w:rPr>
      </w:pPr>
      <w:r>
        <w:rPr>
          <w:rFonts w:hint="eastAsia"/>
          <w:sz w:val="21"/>
          <w:szCs w:val="22"/>
        </w:rPr>
        <w:t>机身地隙：</w:t>
      </w:r>
      <w:r>
        <w:rPr>
          <w:rFonts w:hint="default"/>
          <w:sz w:val="21"/>
          <w:szCs w:val="22"/>
        </w:rPr>
        <w:t>270mm</w:t>
      </w:r>
      <w:r>
        <w:rPr>
          <w:rFonts w:hint="eastAsia"/>
          <w:sz w:val="21"/>
          <w:szCs w:val="22"/>
        </w:rPr>
        <w:t>（主机架中心位置）。</w:t>
      </w:r>
    </w:p>
    <w:p w14:paraId="3DEFD567">
      <w:pPr>
        <w:spacing w:beforeLines="0" w:afterLines="0"/>
        <w:rPr>
          <w:rFonts w:hint="default"/>
          <w:sz w:val="21"/>
          <w:szCs w:val="22"/>
        </w:rPr>
      </w:pPr>
      <w:r>
        <w:rPr>
          <w:rFonts w:hint="eastAsia"/>
          <w:sz w:val="21"/>
          <w:szCs w:val="22"/>
        </w:rPr>
        <w:t>截割硬度：煤层硬度≤</w:t>
      </w:r>
      <w:r>
        <w:rPr>
          <w:rFonts w:hint="default"/>
          <w:sz w:val="21"/>
          <w:szCs w:val="22"/>
        </w:rPr>
        <w:t>50MPa;</w:t>
      </w:r>
      <w:r>
        <w:rPr>
          <w:rFonts w:hint="eastAsia"/>
          <w:sz w:val="21"/>
          <w:szCs w:val="22"/>
        </w:rPr>
        <w:t>夹矸硬度≤</w:t>
      </w:r>
      <w:r>
        <w:rPr>
          <w:rFonts w:hint="default"/>
          <w:sz w:val="21"/>
          <w:szCs w:val="22"/>
        </w:rPr>
        <w:t>80 MPa,</w:t>
      </w:r>
      <w:r>
        <w:rPr>
          <w:rFonts w:hint="eastAsia"/>
          <w:sz w:val="21"/>
          <w:szCs w:val="22"/>
        </w:rPr>
        <w:t>夹矸厚度≤</w:t>
      </w:r>
      <w:r>
        <w:rPr>
          <w:rFonts w:hint="default"/>
          <w:sz w:val="21"/>
          <w:szCs w:val="22"/>
        </w:rPr>
        <w:t>100mm;</w:t>
      </w:r>
    </w:p>
    <w:p w14:paraId="149050B4">
      <w:pPr>
        <w:spacing w:beforeLines="0" w:afterLines="0"/>
        <w:rPr>
          <w:rFonts w:hint="default"/>
          <w:sz w:val="21"/>
          <w:szCs w:val="22"/>
        </w:rPr>
      </w:pPr>
      <w:r>
        <w:rPr>
          <w:rFonts w:hint="eastAsia"/>
          <w:sz w:val="21"/>
          <w:szCs w:val="22"/>
        </w:rPr>
        <w:t>牵引力：</w:t>
      </w:r>
      <w:r>
        <w:rPr>
          <w:rFonts w:hint="default"/>
          <w:sz w:val="21"/>
          <w:szCs w:val="22"/>
        </w:rPr>
        <w:t>600 kN</w:t>
      </w:r>
    </w:p>
    <w:p w14:paraId="5D809560">
      <w:pPr>
        <w:spacing w:beforeLines="0" w:afterLines="0"/>
        <w:rPr>
          <w:rFonts w:hint="default"/>
          <w:sz w:val="21"/>
          <w:szCs w:val="22"/>
        </w:rPr>
      </w:pPr>
      <w:r>
        <w:rPr>
          <w:rFonts w:hint="eastAsia"/>
          <w:sz w:val="21"/>
          <w:szCs w:val="22"/>
        </w:rPr>
        <w:t>牵引速度</w:t>
      </w:r>
      <w:r>
        <w:rPr>
          <w:rFonts w:hint="default"/>
          <w:sz w:val="21"/>
          <w:szCs w:val="22"/>
        </w:rPr>
        <w:t>0-13 m/min</w:t>
      </w:r>
    </w:p>
    <w:p w14:paraId="32303057">
      <w:pPr>
        <w:spacing w:beforeLines="0" w:afterLines="0"/>
        <w:rPr>
          <w:rFonts w:hint="default"/>
          <w:sz w:val="21"/>
          <w:szCs w:val="22"/>
        </w:rPr>
      </w:pPr>
      <w:r>
        <w:rPr>
          <w:rFonts w:hint="eastAsia"/>
          <w:sz w:val="21"/>
          <w:szCs w:val="22"/>
        </w:rPr>
        <w:t>供电电压：</w:t>
      </w:r>
      <w:r>
        <w:rPr>
          <w:rFonts w:hint="default"/>
          <w:sz w:val="21"/>
          <w:szCs w:val="22"/>
        </w:rPr>
        <w:t>3300V</w:t>
      </w:r>
    </w:p>
    <w:p w14:paraId="38DBEC38">
      <w:pPr>
        <w:spacing w:beforeLines="0" w:afterLines="0"/>
        <w:rPr>
          <w:rFonts w:hint="default"/>
          <w:sz w:val="21"/>
          <w:szCs w:val="22"/>
        </w:rPr>
      </w:pPr>
      <w:r>
        <w:rPr>
          <w:rFonts w:hint="eastAsia"/>
          <w:sz w:val="21"/>
          <w:szCs w:val="22"/>
        </w:rPr>
        <w:t>截割功率：</w:t>
      </w:r>
      <w:r>
        <w:rPr>
          <w:rFonts w:hint="default"/>
          <w:sz w:val="21"/>
          <w:szCs w:val="22"/>
        </w:rPr>
        <w:t>560kW(</w:t>
      </w:r>
      <w:r>
        <w:rPr>
          <w:rFonts w:hint="eastAsia"/>
          <w:sz w:val="21"/>
          <w:szCs w:val="22"/>
        </w:rPr>
        <w:t>截割功率业界最高</w:t>
      </w:r>
      <w:r>
        <w:rPr>
          <w:rFonts w:hint="default"/>
          <w:sz w:val="21"/>
          <w:szCs w:val="22"/>
        </w:rPr>
        <w:t>)</w:t>
      </w:r>
    </w:p>
    <w:p w14:paraId="32669D48">
      <w:pPr>
        <w:spacing w:beforeLines="0" w:afterLines="0"/>
        <w:rPr>
          <w:rFonts w:hint="default"/>
          <w:sz w:val="21"/>
          <w:szCs w:val="22"/>
        </w:rPr>
      </w:pPr>
      <w:r>
        <w:rPr>
          <w:rFonts w:hint="eastAsia"/>
          <w:sz w:val="21"/>
          <w:szCs w:val="22"/>
        </w:rPr>
        <w:t>装载功率：</w:t>
      </w:r>
      <w:r>
        <w:rPr>
          <w:rFonts w:hint="default"/>
          <w:sz w:val="21"/>
          <w:szCs w:val="22"/>
        </w:rPr>
        <w:t>2</w:t>
      </w:r>
      <w:r>
        <w:rPr>
          <w:rFonts w:hint="eastAsia"/>
          <w:sz w:val="21"/>
          <w:szCs w:val="22"/>
        </w:rPr>
        <w:t>×</w:t>
      </w:r>
      <w:r>
        <w:rPr>
          <w:rFonts w:hint="default"/>
          <w:sz w:val="21"/>
          <w:szCs w:val="22"/>
        </w:rPr>
        <w:t>45kW</w:t>
      </w:r>
      <w:r>
        <w:rPr>
          <w:rFonts w:hint="eastAsia"/>
          <w:sz w:val="21"/>
          <w:szCs w:val="22"/>
        </w:rPr>
        <w:t>（装载功率业界最高）</w:t>
      </w:r>
    </w:p>
    <w:p w14:paraId="41011DC1">
      <w:pPr>
        <w:spacing w:beforeLines="0" w:afterLines="0"/>
        <w:rPr>
          <w:rFonts w:hint="default"/>
          <w:sz w:val="21"/>
          <w:szCs w:val="22"/>
        </w:rPr>
      </w:pPr>
      <w:r>
        <w:rPr>
          <w:rFonts w:hint="eastAsia"/>
          <w:sz w:val="21"/>
          <w:szCs w:val="22"/>
        </w:rPr>
        <w:t>运输机功率：</w:t>
      </w:r>
      <w:r>
        <w:rPr>
          <w:rFonts w:hint="default"/>
          <w:sz w:val="21"/>
          <w:szCs w:val="22"/>
        </w:rPr>
        <w:t>2</w:t>
      </w:r>
      <w:r>
        <w:rPr>
          <w:rFonts w:hint="eastAsia"/>
          <w:sz w:val="21"/>
          <w:szCs w:val="22"/>
        </w:rPr>
        <w:t>×</w:t>
      </w:r>
      <w:r>
        <w:rPr>
          <w:rFonts w:hint="default"/>
          <w:sz w:val="21"/>
          <w:szCs w:val="22"/>
        </w:rPr>
        <w:t>45kW</w:t>
      </w:r>
      <w:r>
        <w:rPr>
          <w:rFonts w:hint="eastAsia"/>
          <w:sz w:val="21"/>
          <w:szCs w:val="22"/>
        </w:rPr>
        <w:t>（运输功率业界最高）</w:t>
      </w:r>
    </w:p>
    <w:p w14:paraId="50DA862B">
      <w:pPr>
        <w:spacing w:beforeLines="0" w:afterLines="0"/>
        <w:rPr>
          <w:rFonts w:hint="default"/>
          <w:sz w:val="21"/>
          <w:szCs w:val="22"/>
        </w:rPr>
      </w:pPr>
      <w:r>
        <w:rPr>
          <w:rFonts w:hint="eastAsia"/>
          <w:sz w:val="21"/>
          <w:szCs w:val="22"/>
        </w:rPr>
        <w:t>泵站功率：</w:t>
      </w:r>
      <w:r>
        <w:rPr>
          <w:rFonts w:hint="default"/>
          <w:sz w:val="21"/>
          <w:szCs w:val="22"/>
        </w:rPr>
        <w:t>165kW</w:t>
      </w:r>
      <w:r>
        <w:rPr>
          <w:rFonts w:hint="eastAsia"/>
          <w:sz w:val="21"/>
          <w:szCs w:val="22"/>
        </w:rPr>
        <w:t>（黑龙沟调研太科院</w:t>
      </w:r>
      <w:r>
        <w:rPr>
          <w:rFonts w:hint="default"/>
          <w:sz w:val="21"/>
          <w:szCs w:val="22"/>
        </w:rPr>
        <w:t>560</w:t>
      </w:r>
      <w:r>
        <w:rPr>
          <w:rFonts w:hint="eastAsia"/>
          <w:sz w:val="21"/>
          <w:szCs w:val="22"/>
        </w:rPr>
        <w:t>）</w:t>
      </w:r>
    </w:p>
    <w:p w14:paraId="52FC525C">
      <w:pPr>
        <w:spacing w:beforeLines="0" w:afterLines="0"/>
        <w:rPr>
          <w:rFonts w:hint="default"/>
          <w:sz w:val="21"/>
          <w:szCs w:val="22"/>
        </w:rPr>
      </w:pPr>
      <w:r>
        <w:rPr>
          <w:rFonts w:hint="eastAsia"/>
          <w:sz w:val="21"/>
          <w:szCs w:val="22"/>
        </w:rPr>
        <w:t>装机总功率：</w:t>
      </w:r>
      <w:r>
        <w:rPr>
          <w:rFonts w:hint="default"/>
          <w:sz w:val="21"/>
          <w:szCs w:val="22"/>
        </w:rPr>
        <w:t>905kW</w:t>
      </w:r>
      <w:r>
        <w:rPr>
          <w:rFonts w:hint="eastAsia"/>
          <w:sz w:val="21"/>
          <w:szCs w:val="22"/>
        </w:rPr>
        <w:t>（装机功率业绩最高）</w:t>
      </w:r>
    </w:p>
    <w:p w14:paraId="438BD9D8">
      <w:pPr>
        <w:spacing w:beforeLines="0" w:afterLines="0"/>
        <w:rPr>
          <w:rFonts w:hint="default"/>
          <w:sz w:val="21"/>
          <w:szCs w:val="22"/>
        </w:rPr>
      </w:pPr>
      <w:r>
        <w:rPr>
          <w:rFonts w:hint="eastAsia"/>
          <w:sz w:val="21"/>
          <w:szCs w:val="22"/>
        </w:rPr>
        <w:t>整机重量：约</w:t>
      </w:r>
      <w:r>
        <w:rPr>
          <w:rFonts w:hint="default"/>
          <w:sz w:val="21"/>
          <w:szCs w:val="22"/>
        </w:rPr>
        <w:t>120</w:t>
      </w:r>
      <w:r>
        <w:rPr>
          <w:rFonts w:hint="eastAsia"/>
          <w:sz w:val="21"/>
          <w:szCs w:val="22"/>
        </w:rPr>
        <w:t>吨</w:t>
      </w:r>
    </w:p>
    <w:p w14:paraId="16EED64D">
      <w:pPr>
        <w:spacing w:beforeLines="0" w:afterLines="0"/>
        <w:rPr>
          <w:rFonts w:hint="default"/>
          <w:sz w:val="21"/>
          <w:szCs w:val="22"/>
        </w:rPr>
      </w:pPr>
      <w:r>
        <w:rPr>
          <w:rFonts w:hint="eastAsia"/>
          <w:sz w:val="21"/>
          <w:szCs w:val="22"/>
        </w:rPr>
        <w:t>接地比压：</w:t>
      </w:r>
      <w:r>
        <w:rPr>
          <w:rFonts w:hint="default"/>
          <w:sz w:val="21"/>
          <w:szCs w:val="22"/>
        </w:rPr>
        <w:t>≤0.27Mpa</w:t>
      </w:r>
    </w:p>
    <w:p w14:paraId="1D9A912A">
      <w:pPr>
        <w:spacing w:beforeLines="0" w:afterLines="0"/>
        <w:rPr>
          <w:rFonts w:hint="default"/>
          <w:sz w:val="21"/>
          <w:szCs w:val="22"/>
        </w:rPr>
      </w:pPr>
      <w:r>
        <w:rPr>
          <w:rFonts w:hint="eastAsia"/>
          <w:sz w:val="21"/>
          <w:szCs w:val="22"/>
        </w:rPr>
        <w:t>履带板宽度：</w:t>
      </w:r>
      <w:r>
        <w:rPr>
          <w:rFonts w:hint="default"/>
          <w:sz w:val="21"/>
          <w:szCs w:val="22"/>
        </w:rPr>
        <w:t>670mm</w:t>
      </w:r>
      <w:r>
        <w:rPr>
          <w:rFonts w:hint="eastAsia"/>
          <w:sz w:val="21"/>
          <w:szCs w:val="22"/>
        </w:rPr>
        <w:t>；</w:t>
      </w:r>
    </w:p>
    <w:p w14:paraId="3E860C51">
      <w:pPr>
        <w:spacing w:beforeLines="0" w:afterLines="0"/>
        <w:rPr>
          <w:rFonts w:hint="default"/>
          <w:sz w:val="21"/>
          <w:szCs w:val="22"/>
        </w:rPr>
      </w:pPr>
      <w:r>
        <w:rPr>
          <w:rFonts w:hint="eastAsia"/>
          <w:sz w:val="21"/>
          <w:szCs w:val="22"/>
        </w:rPr>
        <w:t>履带接地长度：</w:t>
      </w:r>
      <w:r>
        <w:rPr>
          <w:rFonts w:hint="default"/>
          <w:sz w:val="21"/>
          <w:szCs w:val="22"/>
        </w:rPr>
        <w:t>3200mm</w:t>
      </w:r>
      <w:r>
        <w:rPr>
          <w:rFonts w:hint="eastAsia"/>
          <w:sz w:val="21"/>
          <w:szCs w:val="22"/>
        </w:rPr>
        <w:t>；</w:t>
      </w:r>
    </w:p>
    <w:p w14:paraId="51A82DF1">
      <w:pPr>
        <w:spacing w:beforeLines="0" w:afterLines="0"/>
        <w:rPr>
          <w:rFonts w:hint="default"/>
          <w:sz w:val="21"/>
          <w:szCs w:val="22"/>
        </w:rPr>
      </w:pPr>
      <w:r>
        <w:rPr>
          <w:rFonts w:hint="eastAsia"/>
          <w:sz w:val="21"/>
          <w:szCs w:val="22"/>
        </w:rPr>
        <w:t>操作位置集中，液压手动阀操作，压力表、控制箱等位置应尽量靠近；</w:t>
      </w:r>
    </w:p>
    <w:p w14:paraId="00810D40">
      <w:pPr>
        <w:pStyle w:val="4"/>
        <w:numPr>
          <w:ilvl w:val="0"/>
          <w:numId w:val="2"/>
        </w:numPr>
        <w:spacing w:beforeLines="0" w:afterLines="0"/>
        <w:ind w:firstLineChars="0"/>
        <w:rPr>
          <w:rFonts w:hint="default"/>
          <w:b/>
          <w:sz w:val="21"/>
          <w:szCs w:val="22"/>
        </w:rPr>
      </w:pPr>
      <w:r>
        <w:rPr>
          <w:rFonts w:hint="eastAsia"/>
          <w:b/>
          <w:sz w:val="21"/>
          <w:szCs w:val="22"/>
        </w:rPr>
        <w:t>整体校核：</w:t>
      </w:r>
    </w:p>
    <w:p w14:paraId="6771FA89">
      <w:pPr>
        <w:spacing w:beforeLines="0" w:afterLines="0"/>
        <w:rPr>
          <w:rFonts w:hint="default"/>
          <w:sz w:val="21"/>
          <w:szCs w:val="22"/>
        </w:rPr>
      </w:pPr>
      <w:r>
        <w:rPr>
          <w:rFonts w:hint="eastAsia"/>
          <w:sz w:val="21"/>
          <w:szCs w:val="22"/>
        </w:rPr>
        <w:t>在掏槽完全伸出时，校核整机重心位置，校核在油缸为</w:t>
      </w:r>
      <w:r>
        <w:rPr>
          <w:rFonts w:hint="default"/>
          <w:sz w:val="21"/>
          <w:szCs w:val="22"/>
        </w:rPr>
        <w:t>28Mpa</w:t>
      </w:r>
      <w:r>
        <w:rPr>
          <w:rFonts w:hint="eastAsia"/>
          <w:sz w:val="21"/>
          <w:szCs w:val="22"/>
        </w:rPr>
        <w:t>时，整机的稳定性。</w:t>
      </w:r>
    </w:p>
    <w:p w14:paraId="591063D8">
      <w:pPr>
        <w:spacing w:beforeLines="0" w:afterLines="0"/>
        <w:rPr>
          <w:rFonts w:hint="default"/>
          <w:sz w:val="21"/>
          <w:szCs w:val="22"/>
        </w:rPr>
      </w:pPr>
      <w:r>
        <w:rPr>
          <w:rFonts w:hint="eastAsia"/>
          <w:sz w:val="21"/>
          <w:szCs w:val="22"/>
        </w:rPr>
        <w:t>整机功能校核：在各个模式下，整机电气及液压功能控制逻辑是否正确。</w:t>
      </w:r>
    </w:p>
    <w:p w14:paraId="62BCF85B">
      <w:pPr>
        <w:spacing w:beforeLines="0" w:afterLines="0"/>
        <w:rPr>
          <w:rFonts w:hint="default"/>
          <w:sz w:val="21"/>
          <w:szCs w:val="22"/>
        </w:rPr>
      </w:pPr>
      <w:r>
        <w:rPr>
          <w:rFonts w:hint="eastAsia"/>
          <w:sz w:val="21"/>
          <w:szCs w:val="22"/>
        </w:rPr>
        <w:t>设备在各类动作极限情况下，是否有干涉风险，各部件结构的强度风险评估。</w:t>
      </w:r>
    </w:p>
    <w:p w14:paraId="69A2065B">
      <w:pPr>
        <w:spacing w:beforeLines="0" w:afterLines="0"/>
        <w:rPr>
          <w:rFonts w:hint="default"/>
          <w:sz w:val="21"/>
          <w:szCs w:val="22"/>
        </w:rPr>
      </w:pPr>
      <w:r>
        <w:rPr>
          <w:rFonts w:hint="eastAsia"/>
          <w:sz w:val="21"/>
          <w:szCs w:val="22"/>
        </w:rPr>
        <w:t>整机参数校核，工艺步骤空间校核等。</w:t>
      </w:r>
    </w:p>
    <w:p w14:paraId="0E9EB61B">
      <w:pPr>
        <w:pStyle w:val="4"/>
        <w:numPr>
          <w:ilvl w:val="0"/>
          <w:numId w:val="2"/>
        </w:numPr>
        <w:spacing w:beforeLines="0" w:afterLines="0"/>
        <w:ind w:firstLineChars="0"/>
        <w:rPr>
          <w:rFonts w:hint="default"/>
          <w:b/>
          <w:sz w:val="21"/>
          <w:szCs w:val="22"/>
        </w:rPr>
      </w:pPr>
      <w:r>
        <w:rPr>
          <w:rFonts w:hint="eastAsia"/>
          <w:b/>
          <w:sz w:val="21"/>
          <w:szCs w:val="22"/>
        </w:rPr>
        <w:t>截割设计方案：</w:t>
      </w:r>
    </w:p>
    <w:p w14:paraId="6B143153">
      <w:pPr>
        <w:pStyle w:val="4"/>
        <w:numPr>
          <w:ilvl w:val="0"/>
          <w:numId w:val="3"/>
        </w:numPr>
        <w:spacing w:beforeLines="0" w:afterLines="0"/>
        <w:ind w:firstLineChars="0"/>
        <w:rPr>
          <w:rFonts w:hint="default"/>
          <w:sz w:val="21"/>
          <w:szCs w:val="22"/>
        </w:rPr>
      </w:pPr>
      <w:r>
        <w:rPr>
          <w:rFonts w:hint="eastAsia"/>
          <w:sz w:val="21"/>
          <w:szCs w:val="22"/>
        </w:rPr>
        <w:t>截割减速重新设计或使用郑机所产品，要求额定功率</w:t>
      </w:r>
      <w:r>
        <w:rPr>
          <w:rFonts w:hint="default"/>
          <w:sz w:val="21"/>
          <w:szCs w:val="22"/>
        </w:rPr>
        <w:t>560kW</w:t>
      </w:r>
      <w:r>
        <w:rPr>
          <w:rFonts w:hint="eastAsia"/>
          <w:sz w:val="21"/>
          <w:szCs w:val="22"/>
        </w:rPr>
        <w:t>，输入转速</w:t>
      </w:r>
      <w:r>
        <w:rPr>
          <w:rFonts w:hint="default"/>
          <w:sz w:val="21"/>
          <w:szCs w:val="22"/>
        </w:rPr>
        <w:t>1480r/min</w:t>
      </w:r>
      <w:r>
        <w:rPr>
          <w:rFonts w:hint="eastAsia"/>
          <w:sz w:val="21"/>
          <w:szCs w:val="22"/>
        </w:rPr>
        <w:t>，输出转速</w:t>
      </w:r>
      <w:r>
        <w:rPr>
          <w:rFonts w:hint="default"/>
          <w:sz w:val="21"/>
          <w:szCs w:val="22"/>
        </w:rPr>
        <w:t>25/31r/min</w:t>
      </w:r>
      <w:r>
        <w:rPr>
          <w:rFonts w:hint="eastAsia"/>
          <w:sz w:val="21"/>
          <w:szCs w:val="22"/>
        </w:rPr>
        <w:t>（业界先进）</w:t>
      </w:r>
      <w:r>
        <w:rPr>
          <w:rFonts w:hint="default"/>
          <w:sz w:val="21"/>
          <w:szCs w:val="22"/>
        </w:rPr>
        <w:t>;</w:t>
      </w:r>
      <w:r>
        <w:rPr>
          <w:rFonts w:hint="eastAsia"/>
          <w:sz w:val="21"/>
          <w:szCs w:val="22"/>
        </w:rPr>
        <w:t>可以更换变速齿轮来调整输出转速，外形尺寸参考郑机所外形；</w:t>
      </w:r>
    </w:p>
    <w:p w14:paraId="334034EF">
      <w:pPr>
        <w:pStyle w:val="4"/>
        <w:numPr>
          <w:ilvl w:val="0"/>
          <w:numId w:val="3"/>
        </w:numPr>
        <w:spacing w:beforeLines="0" w:afterLines="0"/>
        <w:ind w:firstLineChars="0"/>
        <w:rPr>
          <w:rFonts w:hint="default"/>
          <w:sz w:val="21"/>
          <w:szCs w:val="22"/>
        </w:rPr>
      </w:pPr>
      <w:r>
        <w:rPr>
          <w:rFonts w:hint="eastAsia"/>
          <w:sz w:val="21"/>
          <w:szCs w:val="22"/>
        </w:rPr>
        <w:t>截割大臂长度尺寸不变，截割滚筒直径</w:t>
      </w:r>
      <w:r>
        <w:rPr>
          <w:rFonts w:hint="default"/>
          <w:sz w:val="21"/>
          <w:szCs w:val="22"/>
        </w:rPr>
        <w:t>1250mm</w:t>
      </w:r>
      <w:r>
        <w:rPr>
          <w:rFonts w:hint="eastAsia"/>
          <w:sz w:val="21"/>
          <w:szCs w:val="22"/>
        </w:rPr>
        <w:t>；</w:t>
      </w:r>
    </w:p>
    <w:p w14:paraId="4C4729EF">
      <w:pPr>
        <w:pStyle w:val="4"/>
        <w:numPr>
          <w:ilvl w:val="0"/>
          <w:numId w:val="3"/>
        </w:numPr>
        <w:spacing w:beforeLines="0" w:afterLines="0"/>
        <w:ind w:firstLineChars="0"/>
        <w:rPr>
          <w:rFonts w:hint="default"/>
          <w:sz w:val="21"/>
          <w:szCs w:val="22"/>
        </w:rPr>
      </w:pPr>
      <w:r>
        <w:rPr>
          <w:rFonts w:hint="eastAsia"/>
          <w:sz w:val="21"/>
          <w:szCs w:val="22"/>
        </w:rPr>
        <w:t>截割大臂外形宽度由</w:t>
      </w:r>
      <w:r>
        <w:rPr>
          <w:rFonts w:hint="default"/>
          <w:sz w:val="21"/>
          <w:szCs w:val="22"/>
        </w:rPr>
        <w:t>940mm</w:t>
      </w:r>
      <w:r>
        <w:rPr>
          <w:rFonts w:hint="eastAsia"/>
          <w:sz w:val="21"/>
          <w:szCs w:val="22"/>
        </w:rPr>
        <w:t>增加至</w:t>
      </w:r>
      <w:r>
        <w:rPr>
          <w:rFonts w:hint="default"/>
          <w:sz w:val="21"/>
          <w:szCs w:val="22"/>
        </w:rPr>
        <w:t>1450mm</w:t>
      </w:r>
      <w:r>
        <w:rPr>
          <w:rFonts w:hint="eastAsia"/>
          <w:sz w:val="21"/>
          <w:szCs w:val="22"/>
        </w:rPr>
        <w:t>，适应新的截割减速机安装；与截割减速机通过止口及</w:t>
      </w:r>
      <w:r>
        <w:rPr>
          <w:rFonts w:hint="default"/>
          <w:sz w:val="21"/>
          <w:szCs w:val="22"/>
        </w:rPr>
        <w:t>20</w:t>
      </w:r>
      <w:r>
        <w:rPr>
          <w:rFonts w:hint="eastAsia"/>
          <w:sz w:val="21"/>
          <w:szCs w:val="22"/>
        </w:rPr>
        <w:t>根</w:t>
      </w:r>
      <w:r>
        <w:rPr>
          <w:rFonts w:hint="default"/>
          <w:sz w:val="21"/>
          <w:szCs w:val="22"/>
        </w:rPr>
        <w:t>M42</w:t>
      </w:r>
      <w:r>
        <w:rPr>
          <w:rFonts w:hint="eastAsia"/>
          <w:sz w:val="21"/>
          <w:szCs w:val="22"/>
        </w:rPr>
        <w:t>螺栓紧固；</w:t>
      </w:r>
    </w:p>
    <w:p w14:paraId="79C2FBB8">
      <w:pPr>
        <w:pStyle w:val="4"/>
        <w:numPr>
          <w:ilvl w:val="0"/>
          <w:numId w:val="3"/>
        </w:numPr>
        <w:spacing w:beforeLines="0" w:afterLines="0"/>
        <w:ind w:firstLineChars="0"/>
        <w:rPr>
          <w:rFonts w:hint="default"/>
          <w:sz w:val="21"/>
          <w:szCs w:val="22"/>
        </w:rPr>
      </w:pPr>
      <w:r>
        <w:rPr>
          <w:rFonts w:hint="eastAsia"/>
          <w:sz w:val="21"/>
          <w:szCs w:val="22"/>
        </w:rPr>
        <w:t>截割大臂结构件所有竖直方向强度及刚度增加至原来的</w:t>
      </w:r>
      <w:r>
        <w:rPr>
          <w:rFonts w:hint="default"/>
          <w:sz w:val="21"/>
          <w:szCs w:val="22"/>
        </w:rPr>
        <w:t>1.5</w:t>
      </w:r>
      <w:r>
        <w:rPr>
          <w:rFonts w:hint="eastAsia"/>
          <w:sz w:val="21"/>
          <w:szCs w:val="22"/>
        </w:rPr>
        <w:t>倍，通过增加钢板厚度，增加多个箱型结构等手段实现；</w:t>
      </w:r>
    </w:p>
    <w:p w14:paraId="33872DE9">
      <w:pPr>
        <w:pStyle w:val="4"/>
        <w:numPr>
          <w:ilvl w:val="0"/>
          <w:numId w:val="3"/>
        </w:numPr>
        <w:spacing w:beforeLines="0" w:afterLines="0"/>
        <w:ind w:firstLineChars="0"/>
        <w:rPr>
          <w:rFonts w:hint="default"/>
          <w:sz w:val="21"/>
          <w:szCs w:val="22"/>
        </w:rPr>
      </w:pPr>
      <w:r>
        <w:rPr>
          <w:rFonts w:hint="eastAsia"/>
          <w:sz w:val="21"/>
          <w:szCs w:val="22"/>
        </w:rPr>
        <w:t>截割大臂结构件铰接孔面积增加至原来的</w:t>
      </w:r>
      <w:r>
        <w:rPr>
          <w:rFonts w:hint="default"/>
          <w:sz w:val="21"/>
          <w:szCs w:val="22"/>
        </w:rPr>
        <w:t>1.5</w:t>
      </w:r>
      <w:r>
        <w:rPr>
          <w:rFonts w:hint="eastAsia"/>
          <w:sz w:val="21"/>
          <w:szCs w:val="22"/>
        </w:rPr>
        <w:t>倍，铰接耳臂具有足够的厚度保证其强度实现；</w:t>
      </w:r>
    </w:p>
    <w:p w14:paraId="14046457">
      <w:pPr>
        <w:pStyle w:val="4"/>
        <w:numPr>
          <w:ilvl w:val="0"/>
          <w:numId w:val="3"/>
        </w:numPr>
        <w:spacing w:beforeLines="0" w:afterLines="0"/>
        <w:ind w:firstLineChars="0"/>
        <w:rPr>
          <w:rFonts w:hint="default"/>
          <w:sz w:val="21"/>
          <w:szCs w:val="22"/>
        </w:rPr>
      </w:pPr>
      <w:r>
        <w:rPr>
          <w:rFonts w:hint="eastAsia"/>
          <w:sz w:val="21"/>
          <w:szCs w:val="22"/>
        </w:rPr>
        <w:t>截割大臂造型重新设计，保证升降油缸与截割大臂在卧底时不干涉；更改截割大臂现有过度造型</w:t>
      </w:r>
    </w:p>
    <w:p w14:paraId="6D096A86">
      <w:pPr>
        <w:pStyle w:val="4"/>
        <w:numPr>
          <w:ilvl w:val="0"/>
          <w:numId w:val="3"/>
        </w:numPr>
        <w:spacing w:beforeLines="0" w:afterLines="0"/>
        <w:ind w:firstLineChars="0"/>
        <w:rPr>
          <w:rFonts w:hint="default"/>
          <w:sz w:val="21"/>
          <w:szCs w:val="22"/>
        </w:rPr>
      </w:pPr>
      <w:r>
        <w:rPr>
          <w:rFonts w:hint="eastAsia"/>
          <w:sz w:val="21"/>
          <w:szCs w:val="22"/>
        </w:rPr>
        <w:t>截割举升油缸拉力增加至原来的</w:t>
      </w:r>
      <w:r>
        <w:rPr>
          <w:rFonts w:hint="default"/>
          <w:sz w:val="21"/>
          <w:szCs w:val="22"/>
        </w:rPr>
        <w:t>1.5</w:t>
      </w:r>
      <w:r>
        <w:rPr>
          <w:rFonts w:hint="eastAsia"/>
          <w:sz w:val="21"/>
          <w:szCs w:val="22"/>
        </w:rPr>
        <w:t>倍，推力足够在</w:t>
      </w:r>
      <w:r>
        <w:rPr>
          <w:rFonts w:hint="default"/>
          <w:sz w:val="21"/>
          <w:szCs w:val="22"/>
        </w:rPr>
        <w:t>20Mpa</w:t>
      </w:r>
      <w:r>
        <w:rPr>
          <w:rFonts w:hint="eastAsia"/>
          <w:sz w:val="21"/>
          <w:szCs w:val="22"/>
        </w:rPr>
        <w:t>时将截割滚筒升起；</w:t>
      </w:r>
    </w:p>
    <w:p w14:paraId="7FA3F42A">
      <w:pPr>
        <w:pStyle w:val="4"/>
        <w:numPr>
          <w:ilvl w:val="0"/>
          <w:numId w:val="3"/>
        </w:numPr>
        <w:spacing w:beforeLines="0" w:afterLines="0"/>
        <w:ind w:firstLineChars="0"/>
        <w:rPr>
          <w:rFonts w:hint="default"/>
          <w:sz w:val="21"/>
          <w:szCs w:val="22"/>
        </w:rPr>
      </w:pPr>
      <w:r>
        <w:rPr>
          <w:rFonts w:hint="eastAsia"/>
          <w:sz w:val="21"/>
          <w:szCs w:val="22"/>
        </w:rPr>
        <w:t>滑移机架导轨中心距离增加</w:t>
      </w:r>
      <w:r>
        <w:rPr>
          <w:rFonts w:hint="default"/>
          <w:sz w:val="21"/>
          <w:szCs w:val="22"/>
        </w:rPr>
        <w:t>250mm</w:t>
      </w:r>
      <w:r>
        <w:rPr>
          <w:rFonts w:hint="eastAsia"/>
          <w:sz w:val="21"/>
          <w:szCs w:val="22"/>
        </w:rPr>
        <w:t>，滑移架铰接耳处整体宽度增加</w:t>
      </w:r>
      <w:r>
        <w:rPr>
          <w:rFonts w:hint="default"/>
          <w:sz w:val="21"/>
          <w:szCs w:val="22"/>
        </w:rPr>
        <w:t>250mm</w:t>
      </w:r>
      <w:r>
        <w:rPr>
          <w:rFonts w:hint="eastAsia"/>
          <w:sz w:val="21"/>
          <w:szCs w:val="22"/>
        </w:rPr>
        <w:t>；</w:t>
      </w:r>
    </w:p>
    <w:p w14:paraId="530D6F44">
      <w:pPr>
        <w:pStyle w:val="4"/>
        <w:numPr>
          <w:ilvl w:val="0"/>
          <w:numId w:val="3"/>
        </w:numPr>
        <w:spacing w:beforeLines="0" w:afterLines="0"/>
        <w:ind w:firstLineChars="0"/>
        <w:rPr>
          <w:rFonts w:hint="default"/>
          <w:sz w:val="21"/>
          <w:szCs w:val="22"/>
        </w:rPr>
      </w:pPr>
      <w:r>
        <w:rPr>
          <w:rFonts w:hint="eastAsia"/>
          <w:sz w:val="21"/>
          <w:szCs w:val="22"/>
        </w:rPr>
        <w:t>滑移机架导轨空肉厚由原来</w:t>
      </w:r>
      <w:r>
        <w:rPr>
          <w:rFonts w:hint="default"/>
          <w:sz w:val="21"/>
          <w:szCs w:val="22"/>
        </w:rPr>
        <w:t>50mm</w:t>
      </w:r>
      <w:r>
        <w:rPr>
          <w:rFonts w:hint="eastAsia"/>
          <w:sz w:val="21"/>
          <w:szCs w:val="22"/>
        </w:rPr>
        <w:t>增加至</w:t>
      </w:r>
      <w:r>
        <w:rPr>
          <w:rFonts w:hint="default"/>
          <w:sz w:val="21"/>
          <w:szCs w:val="22"/>
        </w:rPr>
        <w:t>70mm</w:t>
      </w:r>
      <w:r>
        <w:rPr>
          <w:rFonts w:hint="eastAsia"/>
          <w:sz w:val="21"/>
          <w:szCs w:val="22"/>
        </w:rPr>
        <w:t>，导轨直径由</w:t>
      </w:r>
      <w:r>
        <w:rPr>
          <w:rFonts w:hint="default"/>
          <w:sz w:val="21"/>
          <w:szCs w:val="22"/>
        </w:rPr>
        <w:t>280</w:t>
      </w:r>
      <w:r>
        <w:rPr>
          <w:rFonts w:hint="eastAsia"/>
          <w:sz w:val="21"/>
          <w:szCs w:val="22"/>
        </w:rPr>
        <w:t>增加至</w:t>
      </w:r>
      <w:r>
        <w:rPr>
          <w:rFonts w:hint="default"/>
          <w:sz w:val="21"/>
          <w:szCs w:val="22"/>
        </w:rPr>
        <w:t>300mm</w:t>
      </w:r>
      <w:r>
        <w:rPr>
          <w:rFonts w:hint="eastAsia"/>
          <w:sz w:val="21"/>
          <w:szCs w:val="22"/>
        </w:rPr>
        <w:t>；滑架与导轨重合度增加</w:t>
      </w:r>
      <w:r>
        <w:rPr>
          <w:rFonts w:hint="default"/>
          <w:sz w:val="21"/>
          <w:szCs w:val="22"/>
        </w:rPr>
        <w:t>150</w:t>
      </w:r>
      <w:r>
        <w:rPr>
          <w:rFonts w:hint="eastAsia"/>
          <w:sz w:val="21"/>
          <w:szCs w:val="22"/>
        </w:rPr>
        <w:t>，由</w:t>
      </w:r>
      <w:r>
        <w:rPr>
          <w:rFonts w:hint="default"/>
          <w:sz w:val="21"/>
          <w:szCs w:val="22"/>
        </w:rPr>
        <w:t>1200</w:t>
      </w:r>
      <w:r>
        <w:rPr>
          <w:rFonts w:hint="eastAsia"/>
          <w:sz w:val="21"/>
          <w:szCs w:val="22"/>
        </w:rPr>
        <w:t>增加至</w:t>
      </w:r>
      <w:r>
        <w:rPr>
          <w:rFonts w:hint="default"/>
          <w:sz w:val="21"/>
          <w:szCs w:val="22"/>
        </w:rPr>
        <w:t>1350</w:t>
      </w:r>
      <w:r>
        <w:rPr>
          <w:rFonts w:hint="eastAsia"/>
          <w:sz w:val="21"/>
          <w:szCs w:val="22"/>
        </w:rPr>
        <w:t>，增加部分为滑移架后部，增强截割稳定性</w:t>
      </w:r>
      <w:r>
        <w:rPr>
          <w:rFonts w:hint="default"/>
          <w:sz w:val="21"/>
          <w:szCs w:val="22"/>
        </w:rPr>
        <w:t>(</w:t>
      </w:r>
      <w:r>
        <w:rPr>
          <w:rFonts w:hint="eastAsia"/>
          <w:sz w:val="21"/>
          <w:szCs w:val="22"/>
        </w:rPr>
        <w:t>业界领先</w:t>
      </w:r>
      <w:r>
        <w:rPr>
          <w:rFonts w:hint="default"/>
          <w:sz w:val="21"/>
          <w:szCs w:val="22"/>
        </w:rPr>
        <w:t>)</w:t>
      </w:r>
    </w:p>
    <w:p w14:paraId="7B70BBA4">
      <w:pPr>
        <w:pStyle w:val="4"/>
        <w:numPr>
          <w:ilvl w:val="0"/>
          <w:numId w:val="3"/>
        </w:numPr>
        <w:spacing w:beforeLines="0" w:afterLines="0"/>
        <w:ind w:firstLineChars="0"/>
        <w:rPr>
          <w:rFonts w:hint="default"/>
          <w:sz w:val="21"/>
          <w:szCs w:val="22"/>
        </w:rPr>
      </w:pPr>
      <w:r>
        <w:rPr>
          <w:rFonts w:hint="eastAsia"/>
          <w:sz w:val="21"/>
          <w:szCs w:val="22"/>
        </w:rPr>
        <w:t>滑移机架整体强度保证新截割大臂及新的举升油缸向下切割力与掏槽力作用；注意走管空间与拖链连接尺寸，注意强制润滑管道的合理性，注意整体受力分析；</w:t>
      </w:r>
    </w:p>
    <w:p w14:paraId="4A24A4FF">
      <w:pPr>
        <w:pStyle w:val="4"/>
        <w:numPr>
          <w:ilvl w:val="0"/>
          <w:numId w:val="3"/>
        </w:numPr>
        <w:spacing w:beforeLines="0" w:afterLines="0"/>
        <w:ind w:firstLineChars="0"/>
        <w:rPr>
          <w:rFonts w:hint="default"/>
          <w:sz w:val="21"/>
          <w:szCs w:val="22"/>
        </w:rPr>
      </w:pPr>
      <w:r>
        <w:rPr>
          <w:rFonts w:hint="eastAsia"/>
          <w:sz w:val="21"/>
          <w:szCs w:val="22"/>
        </w:rPr>
        <w:t>设计跟随式风机除尘装置，除尘装置吸风口在除尘块上方，在煤尘产生初期，进行降尘处理，提升除尘效果，考虑其与探水钻机的适配性；考虑风筒或风机随机架滑移；（业界领先）</w:t>
      </w:r>
    </w:p>
    <w:p w14:paraId="1F275F2F">
      <w:pPr>
        <w:pStyle w:val="4"/>
        <w:numPr>
          <w:ilvl w:val="0"/>
          <w:numId w:val="3"/>
        </w:numPr>
        <w:spacing w:beforeLines="0" w:afterLines="0"/>
        <w:ind w:firstLineChars="0"/>
        <w:rPr>
          <w:rFonts w:hint="default"/>
          <w:sz w:val="21"/>
          <w:szCs w:val="22"/>
        </w:rPr>
      </w:pPr>
      <w:r>
        <w:rPr>
          <w:rFonts w:hint="eastAsia"/>
          <w:sz w:val="21"/>
          <w:szCs w:val="22"/>
        </w:rPr>
        <w:t>增加电机扭矩轴或扭矩限制器；</w:t>
      </w:r>
    </w:p>
    <w:p w14:paraId="17C49B4C">
      <w:pPr>
        <w:pStyle w:val="4"/>
        <w:numPr>
          <w:ilvl w:val="0"/>
          <w:numId w:val="3"/>
        </w:numPr>
        <w:spacing w:beforeLines="0" w:afterLines="0"/>
        <w:ind w:firstLineChars="0"/>
        <w:rPr>
          <w:rFonts w:hint="default"/>
          <w:sz w:val="21"/>
          <w:szCs w:val="22"/>
        </w:rPr>
      </w:pPr>
      <w:r>
        <w:rPr>
          <w:rFonts w:hint="default"/>
          <w:sz w:val="21"/>
          <w:szCs w:val="22"/>
        </w:rPr>
        <w:t>CAE</w:t>
      </w:r>
      <w:r>
        <w:rPr>
          <w:rFonts w:hint="eastAsia"/>
          <w:sz w:val="21"/>
          <w:szCs w:val="22"/>
        </w:rPr>
        <w:t>重点分析滑移机架、滑移导轨、截割大臂、应力大小及应变情况不能大于一代机；</w:t>
      </w:r>
    </w:p>
    <w:p w14:paraId="6CCE89FC">
      <w:pPr>
        <w:pStyle w:val="4"/>
        <w:numPr>
          <w:ilvl w:val="0"/>
          <w:numId w:val="3"/>
        </w:numPr>
        <w:spacing w:beforeLines="0" w:afterLines="0"/>
        <w:ind w:firstLineChars="0"/>
        <w:rPr>
          <w:rFonts w:hint="default"/>
          <w:sz w:val="21"/>
          <w:szCs w:val="22"/>
        </w:rPr>
      </w:pPr>
      <w:r>
        <w:rPr>
          <w:rFonts w:hint="eastAsia"/>
          <w:sz w:val="21"/>
          <w:szCs w:val="22"/>
        </w:rPr>
        <w:t>截割电机应该有两端轴承，绕组温度保护；</w:t>
      </w:r>
    </w:p>
    <w:p w14:paraId="5743F64A">
      <w:pPr>
        <w:pStyle w:val="4"/>
        <w:numPr>
          <w:ilvl w:val="0"/>
          <w:numId w:val="3"/>
        </w:numPr>
        <w:spacing w:beforeLines="0" w:afterLines="0"/>
        <w:ind w:firstLineChars="0"/>
        <w:rPr>
          <w:rFonts w:hint="default"/>
          <w:sz w:val="21"/>
          <w:szCs w:val="22"/>
        </w:rPr>
      </w:pPr>
      <w:r>
        <w:rPr>
          <w:rFonts w:hint="eastAsia"/>
          <w:sz w:val="21"/>
          <w:szCs w:val="22"/>
        </w:rPr>
        <w:t>截割滑移部总重约</w:t>
      </w:r>
      <w:r>
        <w:rPr>
          <w:rFonts w:hint="default"/>
          <w:sz w:val="21"/>
          <w:szCs w:val="22"/>
        </w:rPr>
        <w:t>35t</w:t>
      </w:r>
      <w:r>
        <w:rPr>
          <w:rFonts w:hint="eastAsia"/>
          <w:sz w:val="21"/>
          <w:szCs w:val="22"/>
        </w:rPr>
        <w:t>（包含滚筒）</w:t>
      </w:r>
    </w:p>
    <w:p w14:paraId="6F1B134A">
      <w:pPr>
        <w:pStyle w:val="4"/>
        <w:numPr>
          <w:ilvl w:val="0"/>
          <w:numId w:val="2"/>
        </w:numPr>
        <w:spacing w:beforeLines="0" w:afterLines="0"/>
        <w:ind w:firstLineChars="0"/>
        <w:rPr>
          <w:rFonts w:hint="default"/>
          <w:b/>
          <w:sz w:val="21"/>
          <w:szCs w:val="22"/>
        </w:rPr>
      </w:pPr>
      <w:r>
        <w:rPr>
          <w:rFonts w:hint="eastAsia"/>
          <w:b/>
          <w:sz w:val="21"/>
          <w:szCs w:val="22"/>
        </w:rPr>
        <w:t>铲板设计方案：</w:t>
      </w:r>
    </w:p>
    <w:p w14:paraId="2DE83F1A">
      <w:pPr>
        <w:pStyle w:val="4"/>
        <w:numPr>
          <w:ilvl w:val="0"/>
          <w:numId w:val="4"/>
        </w:numPr>
        <w:spacing w:beforeLines="0" w:afterLines="0"/>
        <w:ind w:firstLineChars="0"/>
        <w:rPr>
          <w:rFonts w:hint="default"/>
          <w:sz w:val="21"/>
          <w:szCs w:val="22"/>
        </w:rPr>
      </w:pPr>
      <w:r>
        <w:rPr>
          <w:rFonts w:hint="eastAsia"/>
          <w:sz w:val="21"/>
          <w:szCs w:val="22"/>
        </w:rPr>
        <w:t>铲板星轮距离增大，防止与截割大臂侧板干涉；</w:t>
      </w:r>
    </w:p>
    <w:p w14:paraId="26728595">
      <w:pPr>
        <w:pStyle w:val="4"/>
        <w:numPr>
          <w:ilvl w:val="0"/>
          <w:numId w:val="4"/>
        </w:numPr>
        <w:spacing w:beforeLines="0" w:afterLines="0"/>
        <w:ind w:firstLineChars="0"/>
        <w:rPr>
          <w:rFonts w:hint="default"/>
          <w:sz w:val="21"/>
          <w:szCs w:val="22"/>
        </w:rPr>
      </w:pPr>
      <w:r>
        <w:rPr>
          <w:rFonts w:hint="eastAsia"/>
          <w:sz w:val="21"/>
          <w:szCs w:val="22"/>
        </w:rPr>
        <w:t>铲板星轮电机及减速机增加至</w:t>
      </w:r>
      <w:r>
        <w:rPr>
          <w:rFonts w:hint="default"/>
          <w:sz w:val="21"/>
          <w:szCs w:val="22"/>
        </w:rPr>
        <w:t>45kW</w:t>
      </w:r>
      <w:r>
        <w:rPr>
          <w:rFonts w:hint="eastAsia"/>
          <w:sz w:val="21"/>
          <w:szCs w:val="22"/>
        </w:rPr>
        <w:t>，重新设计减速机，校核爬爪强度；星轮转速不变；</w:t>
      </w:r>
    </w:p>
    <w:p w14:paraId="146C27B2">
      <w:pPr>
        <w:pStyle w:val="4"/>
        <w:numPr>
          <w:ilvl w:val="0"/>
          <w:numId w:val="4"/>
        </w:numPr>
        <w:spacing w:beforeLines="0" w:afterLines="0"/>
        <w:ind w:firstLineChars="0"/>
        <w:rPr>
          <w:rFonts w:hint="default"/>
          <w:sz w:val="21"/>
          <w:szCs w:val="22"/>
        </w:rPr>
      </w:pPr>
      <w:r>
        <w:rPr>
          <w:rFonts w:hint="eastAsia"/>
          <w:sz w:val="21"/>
          <w:szCs w:val="22"/>
        </w:rPr>
        <w:t>星轮电机增加扭矩轴或扭矩限制器；</w:t>
      </w:r>
    </w:p>
    <w:p w14:paraId="0BB3DDD2">
      <w:pPr>
        <w:pStyle w:val="4"/>
        <w:numPr>
          <w:ilvl w:val="0"/>
          <w:numId w:val="4"/>
        </w:numPr>
        <w:spacing w:beforeLines="0" w:afterLines="0"/>
        <w:ind w:firstLineChars="0"/>
        <w:rPr>
          <w:rFonts w:hint="default"/>
          <w:sz w:val="21"/>
          <w:szCs w:val="22"/>
        </w:rPr>
      </w:pPr>
      <w:r>
        <w:rPr>
          <w:rFonts w:hint="eastAsia"/>
          <w:sz w:val="21"/>
          <w:szCs w:val="22"/>
        </w:rPr>
        <w:t>铲板伸缩装置根据适应巷道宽度确定，伸缩行程</w:t>
      </w:r>
      <w:r>
        <w:rPr>
          <w:rFonts w:hint="default"/>
          <w:sz w:val="21"/>
          <w:szCs w:val="22"/>
        </w:rPr>
        <w:t>2</w:t>
      </w:r>
      <w:r>
        <w:rPr>
          <w:rFonts w:hint="eastAsia"/>
          <w:sz w:val="21"/>
          <w:szCs w:val="22"/>
        </w:rPr>
        <w:t>×</w:t>
      </w:r>
      <w:r>
        <w:rPr>
          <w:rFonts w:hint="default"/>
          <w:sz w:val="21"/>
          <w:szCs w:val="22"/>
        </w:rPr>
        <w:t>250mm</w:t>
      </w:r>
      <w:r>
        <w:rPr>
          <w:rFonts w:hint="eastAsia"/>
          <w:sz w:val="21"/>
          <w:szCs w:val="22"/>
        </w:rPr>
        <w:t>，注意伸缩装置在极端位置时均由限位块受力，防止油缸拉断或压断。</w:t>
      </w:r>
    </w:p>
    <w:p w14:paraId="657F2776">
      <w:pPr>
        <w:pStyle w:val="4"/>
        <w:numPr>
          <w:ilvl w:val="0"/>
          <w:numId w:val="4"/>
        </w:numPr>
        <w:spacing w:beforeLines="0" w:afterLines="0"/>
        <w:ind w:firstLineChars="0"/>
        <w:rPr>
          <w:rFonts w:hint="default"/>
          <w:sz w:val="21"/>
          <w:szCs w:val="22"/>
        </w:rPr>
      </w:pPr>
      <w:r>
        <w:rPr>
          <w:rFonts w:hint="eastAsia"/>
          <w:sz w:val="21"/>
          <w:szCs w:val="22"/>
        </w:rPr>
        <w:t>注意油缸进出油孔与转载电机安全距离。</w:t>
      </w:r>
    </w:p>
    <w:p w14:paraId="34A0FFEF">
      <w:pPr>
        <w:pStyle w:val="4"/>
        <w:numPr>
          <w:ilvl w:val="0"/>
          <w:numId w:val="4"/>
        </w:numPr>
        <w:spacing w:beforeLines="0" w:afterLines="0"/>
        <w:ind w:firstLineChars="0"/>
        <w:rPr>
          <w:rFonts w:hint="default"/>
          <w:sz w:val="21"/>
          <w:szCs w:val="22"/>
        </w:rPr>
      </w:pPr>
      <w:r>
        <w:rPr>
          <w:rFonts w:hint="eastAsia"/>
          <w:sz w:val="21"/>
          <w:szCs w:val="22"/>
        </w:rPr>
        <w:t>更改运输机围板尺寸，保证与截割大臂安全距离，距离</w:t>
      </w:r>
      <w:r>
        <w:rPr>
          <w:rFonts w:hint="default"/>
          <w:sz w:val="21"/>
          <w:szCs w:val="22"/>
        </w:rPr>
        <w:t>1006mm</w:t>
      </w:r>
      <w:r>
        <w:rPr>
          <w:rFonts w:hint="eastAsia"/>
          <w:sz w:val="21"/>
          <w:szCs w:val="22"/>
        </w:rPr>
        <w:t>更改为</w:t>
      </w:r>
      <w:r>
        <w:rPr>
          <w:rFonts w:hint="default"/>
          <w:sz w:val="21"/>
          <w:szCs w:val="22"/>
        </w:rPr>
        <w:t>1506mm</w:t>
      </w:r>
      <w:r>
        <w:rPr>
          <w:rFonts w:hint="eastAsia"/>
          <w:sz w:val="21"/>
          <w:szCs w:val="22"/>
        </w:rPr>
        <w:t>。</w:t>
      </w:r>
    </w:p>
    <w:p w14:paraId="1927D317">
      <w:pPr>
        <w:pStyle w:val="4"/>
        <w:numPr>
          <w:ilvl w:val="0"/>
          <w:numId w:val="4"/>
        </w:numPr>
        <w:spacing w:beforeLines="0" w:afterLines="0"/>
        <w:ind w:firstLineChars="0"/>
        <w:rPr>
          <w:rFonts w:hint="default"/>
          <w:sz w:val="21"/>
          <w:szCs w:val="22"/>
        </w:rPr>
      </w:pPr>
      <w:r>
        <w:rPr>
          <w:rFonts w:hint="eastAsia"/>
          <w:sz w:val="21"/>
          <w:szCs w:val="22"/>
        </w:rPr>
        <w:t>伸缩铲板靠强位置可设计墙壁支撑滑轮，滑轮接触墙面，铲板距离墙面约</w:t>
      </w:r>
      <w:r>
        <w:rPr>
          <w:rFonts w:hint="default"/>
          <w:sz w:val="21"/>
          <w:szCs w:val="22"/>
        </w:rPr>
        <w:t>10mm</w:t>
      </w:r>
      <w:r>
        <w:rPr>
          <w:rFonts w:hint="eastAsia"/>
          <w:sz w:val="21"/>
          <w:szCs w:val="22"/>
        </w:rPr>
        <w:t>；</w:t>
      </w:r>
    </w:p>
    <w:p w14:paraId="598A2B34">
      <w:pPr>
        <w:pStyle w:val="4"/>
        <w:numPr>
          <w:ilvl w:val="0"/>
          <w:numId w:val="4"/>
        </w:numPr>
        <w:spacing w:beforeLines="0" w:afterLines="0"/>
        <w:ind w:firstLineChars="0"/>
        <w:rPr>
          <w:rFonts w:hint="default"/>
          <w:sz w:val="21"/>
          <w:szCs w:val="22"/>
        </w:rPr>
      </w:pPr>
      <w:r>
        <w:rPr>
          <w:rFonts w:hint="eastAsia"/>
          <w:sz w:val="21"/>
          <w:szCs w:val="22"/>
        </w:rPr>
        <w:t>铲板电机应有两端轴承、绕组温度保护；</w:t>
      </w:r>
    </w:p>
    <w:p w14:paraId="2EBCC4C6">
      <w:pPr>
        <w:pStyle w:val="4"/>
        <w:numPr>
          <w:ilvl w:val="0"/>
          <w:numId w:val="4"/>
        </w:numPr>
        <w:spacing w:beforeLines="0" w:afterLines="0"/>
        <w:ind w:firstLineChars="0"/>
        <w:rPr>
          <w:rFonts w:hint="default"/>
          <w:sz w:val="21"/>
          <w:szCs w:val="22"/>
        </w:rPr>
      </w:pPr>
      <w:r>
        <w:rPr>
          <w:rFonts w:hint="eastAsia"/>
          <w:sz w:val="21"/>
          <w:szCs w:val="22"/>
        </w:rPr>
        <w:t>总重约</w:t>
      </w:r>
      <w:r>
        <w:rPr>
          <w:rFonts w:hint="default"/>
          <w:sz w:val="21"/>
          <w:szCs w:val="22"/>
        </w:rPr>
        <w:t>9t</w:t>
      </w:r>
      <w:r>
        <w:rPr>
          <w:rFonts w:hint="eastAsia"/>
          <w:sz w:val="21"/>
          <w:szCs w:val="22"/>
        </w:rPr>
        <w:t>；</w:t>
      </w:r>
    </w:p>
    <w:p w14:paraId="5F29B456">
      <w:pPr>
        <w:pStyle w:val="4"/>
        <w:numPr>
          <w:ilvl w:val="0"/>
          <w:numId w:val="2"/>
        </w:numPr>
        <w:spacing w:beforeLines="0" w:afterLines="0"/>
        <w:ind w:firstLineChars="0"/>
        <w:rPr>
          <w:rFonts w:hint="default"/>
          <w:b/>
          <w:sz w:val="21"/>
          <w:szCs w:val="22"/>
        </w:rPr>
      </w:pPr>
      <w:r>
        <w:rPr>
          <w:rFonts w:hint="eastAsia"/>
          <w:b/>
          <w:sz w:val="21"/>
          <w:szCs w:val="22"/>
        </w:rPr>
        <w:t>运输机设计方案</w:t>
      </w:r>
    </w:p>
    <w:p w14:paraId="36CA7329">
      <w:pPr>
        <w:pStyle w:val="4"/>
        <w:numPr>
          <w:ilvl w:val="0"/>
          <w:numId w:val="5"/>
        </w:numPr>
        <w:spacing w:beforeLines="0" w:afterLines="0"/>
        <w:ind w:firstLineChars="0"/>
        <w:rPr>
          <w:rFonts w:hint="default"/>
          <w:b/>
          <w:sz w:val="21"/>
          <w:szCs w:val="22"/>
        </w:rPr>
      </w:pPr>
      <w:r>
        <w:rPr>
          <w:rFonts w:hint="eastAsia"/>
          <w:sz w:val="21"/>
          <w:szCs w:val="22"/>
        </w:rPr>
        <w:t>增加运输电机及减速机至</w:t>
      </w:r>
      <w:r>
        <w:rPr>
          <w:rFonts w:hint="default"/>
          <w:sz w:val="21"/>
          <w:szCs w:val="22"/>
        </w:rPr>
        <w:t>45kW</w:t>
      </w:r>
      <w:r>
        <w:rPr>
          <w:rFonts w:hint="eastAsia"/>
          <w:sz w:val="21"/>
          <w:szCs w:val="22"/>
        </w:rPr>
        <w:t>，重新设计减速机，校核刮板链及驱动链轮强度，链速</w:t>
      </w:r>
      <w:r>
        <w:rPr>
          <w:rFonts w:hint="default"/>
          <w:sz w:val="21"/>
          <w:szCs w:val="22"/>
        </w:rPr>
        <w:t>2.2m/s</w:t>
      </w:r>
      <w:r>
        <w:rPr>
          <w:rFonts w:hint="eastAsia"/>
          <w:sz w:val="21"/>
          <w:szCs w:val="22"/>
        </w:rPr>
        <w:t>；</w:t>
      </w:r>
    </w:p>
    <w:p w14:paraId="35240697">
      <w:pPr>
        <w:pStyle w:val="4"/>
        <w:numPr>
          <w:ilvl w:val="0"/>
          <w:numId w:val="5"/>
        </w:numPr>
        <w:spacing w:beforeLines="0" w:afterLines="0"/>
        <w:ind w:firstLineChars="0"/>
        <w:rPr>
          <w:rFonts w:hint="default"/>
          <w:b/>
          <w:sz w:val="21"/>
          <w:szCs w:val="22"/>
        </w:rPr>
      </w:pPr>
      <w:r>
        <w:rPr>
          <w:rFonts w:hint="eastAsia"/>
          <w:sz w:val="21"/>
          <w:szCs w:val="22"/>
        </w:rPr>
        <w:t>优化减速机及电机变更带来的结构改变，保证运输的左右摆动自由度；</w:t>
      </w:r>
    </w:p>
    <w:p w14:paraId="66CE2DF2">
      <w:pPr>
        <w:pStyle w:val="4"/>
        <w:numPr>
          <w:ilvl w:val="0"/>
          <w:numId w:val="5"/>
        </w:numPr>
        <w:spacing w:beforeLines="0" w:afterLines="0"/>
        <w:ind w:firstLineChars="0"/>
        <w:rPr>
          <w:rFonts w:hint="default"/>
          <w:b/>
          <w:sz w:val="21"/>
          <w:szCs w:val="22"/>
        </w:rPr>
      </w:pPr>
      <w:r>
        <w:rPr>
          <w:rFonts w:hint="eastAsia"/>
          <w:sz w:val="21"/>
          <w:szCs w:val="22"/>
        </w:rPr>
        <w:t>根据实际整机校核结果，更改运输机长度；</w:t>
      </w:r>
    </w:p>
    <w:p w14:paraId="73A8D005">
      <w:pPr>
        <w:pStyle w:val="4"/>
        <w:numPr>
          <w:ilvl w:val="0"/>
          <w:numId w:val="5"/>
        </w:numPr>
        <w:spacing w:beforeLines="0" w:afterLines="0"/>
        <w:ind w:firstLineChars="0"/>
        <w:rPr>
          <w:rFonts w:hint="default"/>
          <w:sz w:val="21"/>
          <w:szCs w:val="22"/>
        </w:rPr>
      </w:pPr>
      <w:r>
        <w:rPr>
          <w:rFonts w:hint="eastAsia"/>
          <w:sz w:val="21"/>
          <w:szCs w:val="22"/>
        </w:rPr>
        <w:t>运输机电机应有两端轴承、绕组温度保护；</w:t>
      </w:r>
    </w:p>
    <w:p w14:paraId="59CE3A4F">
      <w:pPr>
        <w:pStyle w:val="4"/>
        <w:numPr>
          <w:ilvl w:val="0"/>
          <w:numId w:val="5"/>
        </w:numPr>
        <w:spacing w:beforeLines="0" w:afterLines="0"/>
        <w:ind w:firstLineChars="0"/>
        <w:rPr>
          <w:rFonts w:hint="default"/>
          <w:sz w:val="21"/>
          <w:szCs w:val="22"/>
        </w:rPr>
      </w:pPr>
      <w:r>
        <w:rPr>
          <w:rFonts w:hint="eastAsia"/>
          <w:sz w:val="21"/>
          <w:szCs w:val="22"/>
        </w:rPr>
        <w:t>总重约</w:t>
      </w:r>
      <w:r>
        <w:rPr>
          <w:rFonts w:hint="default"/>
          <w:sz w:val="21"/>
          <w:szCs w:val="22"/>
        </w:rPr>
        <w:t>10t</w:t>
      </w:r>
      <w:r>
        <w:rPr>
          <w:rFonts w:hint="eastAsia"/>
          <w:sz w:val="21"/>
          <w:szCs w:val="22"/>
        </w:rPr>
        <w:t>；</w:t>
      </w:r>
    </w:p>
    <w:p w14:paraId="6C00AAFD">
      <w:pPr>
        <w:pStyle w:val="4"/>
        <w:numPr>
          <w:ilvl w:val="0"/>
          <w:numId w:val="2"/>
        </w:numPr>
        <w:spacing w:beforeLines="0" w:afterLines="0"/>
        <w:ind w:firstLineChars="0"/>
        <w:rPr>
          <w:rFonts w:hint="default"/>
          <w:b/>
          <w:sz w:val="21"/>
          <w:szCs w:val="22"/>
        </w:rPr>
      </w:pPr>
      <w:r>
        <w:rPr>
          <w:rFonts w:hint="eastAsia"/>
          <w:b/>
          <w:sz w:val="21"/>
          <w:szCs w:val="22"/>
        </w:rPr>
        <w:t>底盘设计方案</w:t>
      </w:r>
    </w:p>
    <w:p w14:paraId="593C2747">
      <w:pPr>
        <w:pStyle w:val="4"/>
        <w:numPr>
          <w:ilvl w:val="0"/>
          <w:numId w:val="6"/>
        </w:numPr>
        <w:spacing w:beforeLines="0" w:afterLines="0"/>
        <w:ind w:firstLineChars="0"/>
        <w:rPr>
          <w:rFonts w:hint="default"/>
          <w:sz w:val="21"/>
          <w:szCs w:val="22"/>
        </w:rPr>
      </w:pPr>
      <w:r>
        <w:rPr>
          <w:rFonts w:hint="eastAsia"/>
          <w:sz w:val="21"/>
          <w:szCs w:val="22"/>
        </w:rPr>
        <w:t>履带板宽度变更为</w:t>
      </w:r>
      <w:r>
        <w:rPr>
          <w:rFonts w:hint="default"/>
          <w:sz w:val="21"/>
          <w:szCs w:val="22"/>
        </w:rPr>
        <w:t>670mm</w:t>
      </w:r>
      <w:r>
        <w:rPr>
          <w:rFonts w:hint="eastAsia"/>
          <w:sz w:val="21"/>
          <w:szCs w:val="22"/>
        </w:rPr>
        <w:t>，履带外宽宽度</w:t>
      </w:r>
      <w:r>
        <w:rPr>
          <w:rFonts w:hint="default"/>
          <w:sz w:val="21"/>
          <w:szCs w:val="22"/>
        </w:rPr>
        <w:t>3400mm</w:t>
      </w:r>
      <w:r>
        <w:rPr>
          <w:rFonts w:hint="eastAsia"/>
          <w:sz w:val="21"/>
          <w:szCs w:val="22"/>
        </w:rPr>
        <w:t>；新出履带架及履带板；</w:t>
      </w:r>
    </w:p>
    <w:p w14:paraId="46702AEC">
      <w:pPr>
        <w:pStyle w:val="4"/>
        <w:numPr>
          <w:ilvl w:val="0"/>
          <w:numId w:val="6"/>
        </w:numPr>
        <w:spacing w:beforeLines="0" w:afterLines="0"/>
        <w:ind w:firstLineChars="0"/>
        <w:rPr>
          <w:rFonts w:hint="default"/>
          <w:sz w:val="21"/>
          <w:szCs w:val="22"/>
        </w:rPr>
      </w:pPr>
      <w:r>
        <w:rPr>
          <w:rFonts w:hint="eastAsia"/>
          <w:sz w:val="21"/>
          <w:szCs w:val="22"/>
        </w:rPr>
        <w:t>左右后支撑整体完成后可由现有的</w:t>
      </w:r>
      <w:r>
        <w:rPr>
          <w:rFonts w:hint="default"/>
          <w:sz w:val="21"/>
          <w:szCs w:val="22"/>
        </w:rPr>
        <w:t>2700mm</w:t>
      </w:r>
      <w:r>
        <w:rPr>
          <w:rFonts w:hint="eastAsia"/>
          <w:sz w:val="21"/>
          <w:szCs w:val="22"/>
        </w:rPr>
        <w:t>增加至</w:t>
      </w:r>
      <w:r>
        <w:rPr>
          <w:rFonts w:hint="default"/>
          <w:sz w:val="21"/>
          <w:szCs w:val="22"/>
        </w:rPr>
        <w:t>3200mm</w:t>
      </w:r>
      <w:r>
        <w:rPr>
          <w:rFonts w:hint="eastAsia"/>
          <w:sz w:val="21"/>
          <w:szCs w:val="22"/>
        </w:rPr>
        <w:t>；</w:t>
      </w:r>
    </w:p>
    <w:p w14:paraId="4C9E69AC">
      <w:pPr>
        <w:pStyle w:val="4"/>
        <w:numPr>
          <w:ilvl w:val="0"/>
          <w:numId w:val="6"/>
        </w:numPr>
        <w:spacing w:beforeLines="0" w:afterLines="0"/>
        <w:ind w:firstLineChars="0"/>
        <w:rPr>
          <w:rFonts w:hint="default"/>
          <w:sz w:val="21"/>
          <w:szCs w:val="22"/>
        </w:rPr>
      </w:pPr>
      <w:r>
        <w:rPr>
          <w:rFonts w:hint="eastAsia"/>
          <w:sz w:val="21"/>
          <w:szCs w:val="22"/>
        </w:rPr>
        <w:t>驱动张紧滑块调整至相应宽度；驱动减速机及驱动马达设计不变</w:t>
      </w:r>
    </w:p>
    <w:p w14:paraId="6F68F93E">
      <w:pPr>
        <w:pStyle w:val="4"/>
        <w:numPr>
          <w:ilvl w:val="0"/>
          <w:numId w:val="6"/>
        </w:numPr>
        <w:spacing w:beforeLines="0" w:afterLines="0"/>
        <w:ind w:firstLineChars="0"/>
        <w:rPr>
          <w:rFonts w:hint="default"/>
          <w:sz w:val="21"/>
          <w:szCs w:val="22"/>
        </w:rPr>
      </w:pPr>
      <w:r>
        <w:rPr>
          <w:rFonts w:hint="eastAsia"/>
          <w:sz w:val="21"/>
          <w:szCs w:val="22"/>
        </w:rPr>
        <w:t>临时支护油缸底部铰接耳由底支撑靴移至铲板升降油缸附近，具体结构参考铁建重工，方便探水钻机布置与钻架布置；临时支撑油缸压力不小于</w:t>
      </w:r>
      <w:r>
        <w:rPr>
          <w:rFonts w:hint="default"/>
          <w:sz w:val="21"/>
          <w:szCs w:val="22"/>
        </w:rPr>
        <w:t>30</w:t>
      </w:r>
      <w:r>
        <w:rPr>
          <w:rFonts w:hint="eastAsia"/>
          <w:sz w:val="21"/>
          <w:szCs w:val="22"/>
        </w:rPr>
        <w:t>吨；该油缸将会吸收较多整机震动，支撑结构件及油缸须有较大设计余量；注意油缸铰接耳距离焊接处的距离导致的力矩问题，以免影响焊接结构强度。临时支护限位杆保留，位置后移参考铁建结构，方便拆装铲板油缸下销轴时使用。</w:t>
      </w:r>
    </w:p>
    <w:p w14:paraId="0024241A">
      <w:pPr>
        <w:pStyle w:val="4"/>
        <w:numPr>
          <w:ilvl w:val="0"/>
          <w:numId w:val="6"/>
        </w:numPr>
        <w:spacing w:beforeLines="0" w:afterLines="0"/>
        <w:ind w:firstLineChars="0"/>
        <w:rPr>
          <w:rFonts w:hint="default"/>
          <w:sz w:val="21"/>
          <w:szCs w:val="22"/>
        </w:rPr>
      </w:pPr>
      <w:r>
        <w:rPr>
          <w:rFonts w:hint="eastAsia"/>
          <w:sz w:val="21"/>
          <w:szCs w:val="22"/>
        </w:rPr>
        <w:t>优化后支撑油缸结构，平衡阀为板式，安装在油缸之上，油缸拆装要方便；</w:t>
      </w:r>
    </w:p>
    <w:p w14:paraId="3FA0C0E3">
      <w:pPr>
        <w:pStyle w:val="4"/>
        <w:numPr>
          <w:ilvl w:val="0"/>
          <w:numId w:val="6"/>
        </w:numPr>
        <w:spacing w:beforeLines="0" w:afterLines="0"/>
        <w:ind w:firstLineChars="0"/>
        <w:rPr>
          <w:rFonts w:hint="default"/>
          <w:sz w:val="21"/>
          <w:szCs w:val="22"/>
        </w:rPr>
      </w:pPr>
      <w:r>
        <w:rPr>
          <w:rFonts w:hint="eastAsia"/>
          <w:sz w:val="21"/>
          <w:szCs w:val="22"/>
        </w:rPr>
        <w:t>导轨直径更改为</w:t>
      </w:r>
      <w:r>
        <w:rPr>
          <w:rFonts w:hint="default"/>
          <w:sz w:val="21"/>
          <w:szCs w:val="22"/>
        </w:rPr>
        <w:t>300mm</w:t>
      </w:r>
      <w:r>
        <w:rPr>
          <w:rFonts w:hint="eastAsia"/>
          <w:sz w:val="21"/>
          <w:szCs w:val="22"/>
        </w:rPr>
        <w:t>，距离增加</w:t>
      </w:r>
      <w:r>
        <w:rPr>
          <w:rFonts w:hint="default"/>
          <w:sz w:val="21"/>
          <w:szCs w:val="22"/>
        </w:rPr>
        <w:t>250mm</w:t>
      </w:r>
      <w:r>
        <w:rPr>
          <w:rFonts w:hint="eastAsia"/>
          <w:sz w:val="21"/>
          <w:szCs w:val="22"/>
        </w:rPr>
        <w:t>，强化导轨压板结构，结构强度提升</w:t>
      </w:r>
      <w:r>
        <w:rPr>
          <w:rFonts w:hint="default"/>
          <w:sz w:val="21"/>
          <w:szCs w:val="22"/>
        </w:rPr>
        <w:t>1.5</w:t>
      </w:r>
      <w:r>
        <w:rPr>
          <w:rFonts w:hint="eastAsia"/>
          <w:sz w:val="21"/>
          <w:szCs w:val="22"/>
        </w:rPr>
        <w:t>倍以上，导轨压板安装螺栓使用</w:t>
      </w:r>
      <w:r>
        <w:rPr>
          <w:rFonts w:hint="default"/>
          <w:sz w:val="21"/>
          <w:szCs w:val="22"/>
        </w:rPr>
        <w:t>4</w:t>
      </w:r>
      <w:r>
        <w:rPr>
          <w:rFonts w:hint="eastAsia"/>
          <w:sz w:val="21"/>
          <w:szCs w:val="22"/>
        </w:rPr>
        <w:t>条</w:t>
      </w:r>
      <w:r>
        <w:rPr>
          <w:rFonts w:hint="default"/>
          <w:sz w:val="21"/>
          <w:szCs w:val="22"/>
        </w:rPr>
        <w:t>M48</w:t>
      </w:r>
      <w:r>
        <w:rPr>
          <w:rFonts w:hint="eastAsia"/>
          <w:sz w:val="21"/>
          <w:szCs w:val="22"/>
        </w:rPr>
        <w:t>细螺纹</w:t>
      </w:r>
      <w:r>
        <w:rPr>
          <w:rFonts w:hint="default"/>
          <w:sz w:val="21"/>
          <w:szCs w:val="22"/>
        </w:rPr>
        <w:t>10.9</w:t>
      </w:r>
      <w:r>
        <w:rPr>
          <w:rFonts w:hint="eastAsia"/>
          <w:sz w:val="21"/>
          <w:szCs w:val="22"/>
        </w:rPr>
        <w:t>级高强度螺栓；压板做一定强度的增强。</w:t>
      </w:r>
    </w:p>
    <w:p w14:paraId="37656495">
      <w:pPr>
        <w:pStyle w:val="4"/>
        <w:numPr>
          <w:ilvl w:val="0"/>
          <w:numId w:val="6"/>
        </w:numPr>
        <w:spacing w:beforeLines="0" w:afterLines="0"/>
        <w:ind w:firstLineChars="0"/>
        <w:rPr>
          <w:rFonts w:hint="default"/>
          <w:sz w:val="21"/>
          <w:szCs w:val="22"/>
        </w:rPr>
      </w:pPr>
      <w:r>
        <w:rPr>
          <w:rFonts w:hint="eastAsia"/>
          <w:sz w:val="21"/>
          <w:szCs w:val="22"/>
        </w:rPr>
        <w:t>中间架体结构增加一定宽度，方便掏槽油缸整机结构协调，强度可靠；</w:t>
      </w:r>
    </w:p>
    <w:p w14:paraId="3F598BF3">
      <w:pPr>
        <w:pStyle w:val="4"/>
        <w:numPr>
          <w:ilvl w:val="0"/>
          <w:numId w:val="6"/>
        </w:numPr>
        <w:spacing w:beforeLines="0" w:afterLines="0"/>
        <w:ind w:firstLineChars="0"/>
        <w:rPr>
          <w:rFonts w:hint="default"/>
          <w:sz w:val="21"/>
          <w:szCs w:val="22"/>
        </w:rPr>
      </w:pPr>
      <w:r>
        <w:rPr>
          <w:rFonts w:hint="eastAsia"/>
          <w:sz w:val="21"/>
          <w:szCs w:val="22"/>
        </w:rPr>
        <w:t>设计平台安装固定结构；</w:t>
      </w:r>
    </w:p>
    <w:p w14:paraId="13E22838">
      <w:pPr>
        <w:pStyle w:val="4"/>
        <w:numPr>
          <w:ilvl w:val="0"/>
          <w:numId w:val="6"/>
        </w:numPr>
        <w:spacing w:beforeLines="0" w:afterLines="0"/>
        <w:ind w:firstLineChars="0"/>
        <w:rPr>
          <w:rFonts w:hint="default"/>
          <w:sz w:val="21"/>
          <w:szCs w:val="22"/>
        </w:rPr>
      </w:pPr>
      <w:r>
        <w:rPr>
          <w:rFonts w:hint="eastAsia"/>
          <w:sz w:val="21"/>
          <w:szCs w:val="22"/>
        </w:rPr>
        <w:t>底部使用双列耐磨板，整机注意控制重量；</w:t>
      </w:r>
      <w:r>
        <w:rPr>
          <w:rFonts w:hint="default"/>
          <w:sz w:val="21"/>
          <w:szCs w:val="22"/>
        </w:rPr>
        <w:t xml:space="preserve"> </w:t>
      </w:r>
    </w:p>
    <w:p w14:paraId="119105A9">
      <w:pPr>
        <w:pStyle w:val="4"/>
        <w:numPr>
          <w:ilvl w:val="0"/>
          <w:numId w:val="6"/>
        </w:numPr>
        <w:spacing w:beforeLines="0" w:afterLines="0"/>
        <w:ind w:firstLineChars="0"/>
        <w:rPr>
          <w:rFonts w:hint="default"/>
          <w:sz w:val="21"/>
          <w:szCs w:val="22"/>
        </w:rPr>
      </w:pPr>
      <w:r>
        <w:rPr>
          <w:rFonts w:hint="eastAsia"/>
          <w:sz w:val="21"/>
          <w:szCs w:val="22"/>
        </w:rPr>
        <w:t>行走制动器必要且必须可靠；</w:t>
      </w:r>
    </w:p>
    <w:p w14:paraId="510477FA">
      <w:pPr>
        <w:pStyle w:val="4"/>
        <w:numPr>
          <w:ilvl w:val="0"/>
          <w:numId w:val="6"/>
        </w:numPr>
        <w:spacing w:beforeLines="0" w:afterLines="0"/>
        <w:ind w:firstLineChars="0"/>
        <w:rPr>
          <w:rFonts w:hint="default"/>
          <w:sz w:val="21"/>
          <w:szCs w:val="22"/>
        </w:rPr>
      </w:pPr>
      <w:r>
        <w:rPr>
          <w:rFonts w:hint="eastAsia"/>
          <w:sz w:val="21"/>
          <w:szCs w:val="22"/>
        </w:rPr>
        <w:t>底盘导轨有效长度与截距</w:t>
      </w:r>
      <w:r>
        <w:rPr>
          <w:rFonts w:hint="default"/>
          <w:sz w:val="21"/>
          <w:szCs w:val="22"/>
        </w:rPr>
        <w:t>1200mm</w:t>
      </w:r>
      <w:r>
        <w:rPr>
          <w:rFonts w:hint="eastAsia"/>
          <w:sz w:val="21"/>
          <w:szCs w:val="22"/>
        </w:rPr>
        <w:t>相同，导轨重合度增加至</w:t>
      </w:r>
      <w:r>
        <w:rPr>
          <w:rFonts w:hint="default"/>
          <w:sz w:val="21"/>
          <w:szCs w:val="22"/>
        </w:rPr>
        <w:t>1350mm</w:t>
      </w:r>
      <w:r>
        <w:rPr>
          <w:rFonts w:hint="eastAsia"/>
          <w:sz w:val="21"/>
          <w:szCs w:val="22"/>
        </w:rPr>
        <w:t>，为滑移机架预留足够内侧间隙；</w:t>
      </w:r>
    </w:p>
    <w:p w14:paraId="6625DA72">
      <w:pPr>
        <w:pStyle w:val="4"/>
        <w:numPr>
          <w:ilvl w:val="0"/>
          <w:numId w:val="6"/>
        </w:numPr>
        <w:spacing w:beforeLines="0" w:afterLines="0"/>
        <w:ind w:firstLineChars="0"/>
        <w:rPr>
          <w:rFonts w:hint="default"/>
          <w:sz w:val="21"/>
          <w:szCs w:val="22"/>
        </w:rPr>
      </w:pPr>
      <w:r>
        <w:rPr>
          <w:rFonts w:hint="eastAsia"/>
          <w:sz w:val="21"/>
          <w:szCs w:val="22"/>
        </w:rPr>
        <w:t>底盘后部预留电缆挑高架安装螺栓孔；</w:t>
      </w:r>
    </w:p>
    <w:p w14:paraId="4DB74B1B">
      <w:pPr>
        <w:pStyle w:val="4"/>
        <w:numPr>
          <w:ilvl w:val="0"/>
          <w:numId w:val="6"/>
        </w:numPr>
        <w:spacing w:beforeLines="0" w:afterLines="0"/>
        <w:ind w:firstLineChars="0"/>
        <w:rPr>
          <w:rFonts w:hint="default"/>
          <w:sz w:val="21"/>
          <w:szCs w:val="22"/>
        </w:rPr>
      </w:pPr>
      <w:r>
        <w:rPr>
          <w:rFonts w:hint="eastAsia"/>
          <w:sz w:val="21"/>
          <w:szCs w:val="22"/>
        </w:rPr>
        <w:t>增加行走编码器安装位置；</w:t>
      </w:r>
    </w:p>
    <w:p w14:paraId="3EC0359D">
      <w:pPr>
        <w:pStyle w:val="4"/>
        <w:numPr>
          <w:ilvl w:val="0"/>
          <w:numId w:val="6"/>
        </w:numPr>
        <w:spacing w:beforeLines="0" w:afterLines="0"/>
        <w:ind w:firstLineChars="0"/>
        <w:rPr>
          <w:rFonts w:hint="default"/>
          <w:sz w:val="21"/>
          <w:szCs w:val="22"/>
        </w:rPr>
      </w:pPr>
      <w:r>
        <w:rPr>
          <w:rFonts w:hint="eastAsia"/>
          <w:sz w:val="21"/>
          <w:szCs w:val="22"/>
        </w:rPr>
        <w:t>底盘重量</w:t>
      </w:r>
      <w:r>
        <w:rPr>
          <w:rFonts w:hint="default"/>
          <w:sz w:val="21"/>
          <w:szCs w:val="22"/>
        </w:rPr>
        <w:t>≤28t</w:t>
      </w:r>
      <w:r>
        <w:rPr>
          <w:rFonts w:hint="eastAsia"/>
          <w:sz w:val="21"/>
          <w:szCs w:val="22"/>
        </w:rPr>
        <w:t>；</w:t>
      </w:r>
    </w:p>
    <w:p w14:paraId="33D7AA3F">
      <w:pPr>
        <w:pStyle w:val="4"/>
        <w:numPr>
          <w:ilvl w:val="0"/>
          <w:numId w:val="2"/>
        </w:numPr>
        <w:spacing w:beforeLines="0" w:afterLines="0"/>
        <w:ind w:firstLineChars="0"/>
        <w:rPr>
          <w:rFonts w:hint="default"/>
          <w:b/>
          <w:sz w:val="21"/>
          <w:szCs w:val="22"/>
        </w:rPr>
      </w:pPr>
      <w:r>
        <w:rPr>
          <w:rFonts w:hint="eastAsia"/>
          <w:b/>
          <w:sz w:val="21"/>
          <w:szCs w:val="22"/>
        </w:rPr>
        <w:t>减速机</w:t>
      </w:r>
    </w:p>
    <w:p w14:paraId="0097B6A0">
      <w:pPr>
        <w:pStyle w:val="4"/>
        <w:numPr>
          <w:ilvl w:val="0"/>
          <w:numId w:val="7"/>
        </w:numPr>
        <w:spacing w:beforeLines="0" w:afterLines="0"/>
        <w:ind w:firstLineChars="0"/>
        <w:rPr>
          <w:rFonts w:hint="default"/>
          <w:sz w:val="21"/>
          <w:szCs w:val="22"/>
        </w:rPr>
      </w:pPr>
      <w:r>
        <w:rPr>
          <w:rFonts w:hint="eastAsia"/>
          <w:sz w:val="21"/>
          <w:szCs w:val="22"/>
        </w:rPr>
        <w:t>根据结构空间，研发新型截割减速机、转载减速机、运输减速机；</w:t>
      </w:r>
    </w:p>
    <w:p w14:paraId="0E4C7FCC">
      <w:pPr>
        <w:pStyle w:val="4"/>
        <w:numPr>
          <w:ilvl w:val="0"/>
          <w:numId w:val="7"/>
        </w:numPr>
        <w:spacing w:beforeLines="0" w:afterLines="0"/>
        <w:ind w:firstLineChars="0"/>
        <w:rPr>
          <w:rFonts w:hint="default"/>
          <w:sz w:val="21"/>
          <w:szCs w:val="22"/>
        </w:rPr>
      </w:pPr>
      <w:r>
        <w:rPr>
          <w:rFonts w:hint="eastAsia"/>
          <w:sz w:val="21"/>
          <w:szCs w:val="22"/>
        </w:rPr>
        <w:t>截割减速机：额定功率</w:t>
      </w:r>
      <w:r>
        <w:rPr>
          <w:rFonts w:hint="default"/>
          <w:sz w:val="21"/>
          <w:szCs w:val="22"/>
        </w:rPr>
        <w:t>560kW</w:t>
      </w:r>
      <w:r>
        <w:rPr>
          <w:rFonts w:hint="eastAsia"/>
          <w:sz w:val="21"/>
          <w:szCs w:val="22"/>
        </w:rPr>
        <w:t>，输出转速</w:t>
      </w:r>
      <w:r>
        <w:rPr>
          <w:rFonts w:hint="default"/>
          <w:sz w:val="21"/>
          <w:szCs w:val="22"/>
        </w:rPr>
        <w:t>25/31</w:t>
      </w:r>
      <w:r>
        <w:rPr>
          <w:rFonts w:hint="eastAsia"/>
          <w:sz w:val="21"/>
          <w:szCs w:val="22"/>
        </w:rPr>
        <w:t>转；长度约</w:t>
      </w:r>
      <w:r>
        <w:rPr>
          <w:rFonts w:hint="default"/>
          <w:sz w:val="21"/>
          <w:szCs w:val="22"/>
        </w:rPr>
        <w:t>4500mm</w:t>
      </w:r>
      <w:r>
        <w:rPr>
          <w:rFonts w:hint="eastAsia"/>
          <w:sz w:val="21"/>
          <w:szCs w:val="22"/>
        </w:rPr>
        <w:t>，直径外形与现有减速机相同，相同部位径向尺寸大约</w:t>
      </w:r>
      <w:r>
        <w:rPr>
          <w:rFonts w:hint="default"/>
          <w:sz w:val="21"/>
          <w:szCs w:val="22"/>
        </w:rPr>
        <w:t>100mm</w:t>
      </w:r>
      <w:r>
        <w:rPr>
          <w:rFonts w:hint="eastAsia"/>
          <w:sz w:val="21"/>
          <w:szCs w:val="22"/>
        </w:rPr>
        <w:t>，适配直径为</w:t>
      </w:r>
      <w:r>
        <w:rPr>
          <w:rFonts w:hint="default"/>
          <w:sz w:val="21"/>
          <w:szCs w:val="22"/>
        </w:rPr>
        <w:t>1250mm</w:t>
      </w:r>
      <w:r>
        <w:rPr>
          <w:rFonts w:hint="eastAsia"/>
          <w:sz w:val="21"/>
          <w:szCs w:val="22"/>
        </w:rPr>
        <w:t>截割滚筒。</w:t>
      </w:r>
    </w:p>
    <w:p w14:paraId="1BE95F2A">
      <w:pPr>
        <w:pStyle w:val="4"/>
        <w:numPr>
          <w:ilvl w:val="0"/>
          <w:numId w:val="7"/>
        </w:numPr>
        <w:spacing w:beforeLines="0" w:afterLines="0"/>
        <w:ind w:firstLineChars="0"/>
        <w:rPr>
          <w:rFonts w:hint="default"/>
          <w:sz w:val="21"/>
          <w:szCs w:val="22"/>
        </w:rPr>
      </w:pPr>
      <w:r>
        <w:rPr>
          <w:rFonts w:hint="eastAsia"/>
          <w:sz w:val="21"/>
          <w:szCs w:val="22"/>
        </w:rPr>
        <w:t>装载减速机：额定功率</w:t>
      </w:r>
      <w:r>
        <w:rPr>
          <w:rFonts w:hint="default"/>
          <w:sz w:val="21"/>
          <w:szCs w:val="22"/>
        </w:rPr>
        <w:t>45kW</w:t>
      </w:r>
      <w:r>
        <w:rPr>
          <w:rFonts w:hint="eastAsia"/>
          <w:sz w:val="21"/>
          <w:szCs w:val="22"/>
        </w:rPr>
        <w:t>，输出转速</w:t>
      </w:r>
      <w:r>
        <w:rPr>
          <w:rFonts w:hint="default"/>
          <w:sz w:val="21"/>
          <w:szCs w:val="22"/>
        </w:rPr>
        <w:t>44r/min</w:t>
      </w:r>
      <w:r>
        <w:rPr>
          <w:rFonts w:hint="eastAsia"/>
          <w:sz w:val="21"/>
          <w:szCs w:val="22"/>
        </w:rPr>
        <w:t>，宽度及高度可适当加大，厚度不变（与锚杆钻机安全距离不变，保证输入扭矩在上方，防止电机进水）</w:t>
      </w:r>
    </w:p>
    <w:p w14:paraId="2A32A660">
      <w:pPr>
        <w:pStyle w:val="4"/>
        <w:numPr>
          <w:ilvl w:val="0"/>
          <w:numId w:val="7"/>
        </w:numPr>
        <w:spacing w:beforeLines="0" w:afterLines="0"/>
        <w:ind w:firstLineChars="0"/>
        <w:rPr>
          <w:rFonts w:hint="default"/>
          <w:sz w:val="21"/>
          <w:szCs w:val="22"/>
        </w:rPr>
      </w:pPr>
      <w:r>
        <w:rPr>
          <w:rFonts w:hint="eastAsia"/>
          <w:sz w:val="21"/>
          <w:szCs w:val="22"/>
        </w:rPr>
        <w:t>运输减速机：额定功率</w:t>
      </w:r>
      <w:r>
        <w:rPr>
          <w:rFonts w:hint="default"/>
          <w:sz w:val="21"/>
          <w:szCs w:val="22"/>
        </w:rPr>
        <w:t>45kW</w:t>
      </w:r>
      <w:r>
        <w:rPr>
          <w:rFonts w:hint="eastAsia"/>
          <w:sz w:val="21"/>
          <w:szCs w:val="22"/>
        </w:rPr>
        <w:t>，输出转速</w:t>
      </w:r>
      <w:r>
        <w:rPr>
          <w:rFonts w:hint="default"/>
          <w:sz w:val="21"/>
          <w:szCs w:val="22"/>
        </w:rPr>
        <w:t>163r/min</w:t>
      </w:r>
      <w:r>
        <w:rPr>
          <w:rFonts w:hint="eastAsia"/>
          <w:sz w:val="21"/>
          <w:szCs w:val="22"/>
        </w:rPr>
        <w:t>，优先考虑增加直径，倒角处尺寸不变；</w:t>
      </w:r>
      <w:r>
        <w:rPr>
          <w:rFonts w:hint="default"/>
          <w:sz w:val="21"/>
          <w:szCs w:val="22"/>
        </w:rPr>
        <w:t xml:space="preserve"> </w:t>
      </w:r>
    </w:p>
    <w:p w14:paraId="58BF51E0">
      <w:pPr>
        <w:pStyle w:val="4"/>
        <w:numPr>
          <w:ilvl w:val="0"/>
          <w:numId w:val="2"/>
        </w:numPr>
        <w:spacing w:beforeLines="0" w:afterLines="0"/>
        <w:ind w:firstLineChars="0"/>
        <w:rPr>
          <w:rFonts w:hint="default"/>
          <w:b/>
          <w:sz w:val="21"/>
          <w:szCs w:val="22"/>
        </w:rPr>
      </w:pPr>
      <w:r>
        <w:rPr>
          <w:rFonts w:hint="eastAsia"/>
          <w:b/>
          <w:sz w:val="21"/>
          <w:szCs w:val="22"/>
        </w:rPr>
        <w:t>临时支护结构</w:t>
      </w:r>
    </w:p>
    <w:p w14:paraId="70637EE1">
      <w:pPr>
        <w:pStyle w:val="4"/>
        <w:numPr>
          <w:ilvl w:val="0"/>
          <w:numId w:val="8"/>
        </w:numPr>
        <w:spacing w:beforeLines="0" w:afterLines="0"/>
        <w:ind w:firstLineChars="0"/>
        <w:rPr>
          <w:rFonts w:hint="default"/>
          <w:sz w:val="21"/>
          <w:szCs w:val="22"/>
        </w:rPr>
      </w:pPr>
      <w:r>
        <w:rPr>
          <w:rFonts w:hint="eastAsia"/>
          <w:sz w:val="21"/>
          <w:szCs w:val="22"/>
        </w:rPr>
        <w:t>整改支撑油缸铰接点位置，支撑点靠后；使支撑油缸在最高与最低点尽可能垂直；</w:t>
      </w:r>
    </w:p>
    <w:p w14:paraId="1984313C">
      <w:pPr>
        <w:pStyle w:val="4"/>
        <w:numPr>
          <w:ilvl w:val="0"/>
          <w:numId w:val="8"/>
        </w:numPr>
        <w:spacing w:beforeLines="0" w:afterLines="0"/>
        <w:ind w:firstLineChars="0"/>
        <w:rPr>
          <w:rFonts w:hint="default"/>
          <w:sz w:val="21"/>
          <w:szCs w:val="22"/>
        </w:rPr>
      </w:pPr>
      <w:r>
        <w:rPr>
          <w:rFonts w:hint="eastAsia"/>
          <w:sz w:val="21"/>
          <w:szCs w:val="22"/>
        </w:rPr>
        <w:t>整体要有足够强的机构，可将顶板</w:t>
      </w:r>
      <w:r>
        <w:rPr>
          <w:rFonts w:hint="default"/>
          <w:sz w:val="21"/>
          <w:szCs w:val="22"/>
        </w:rPr>
        <w:t>20</w:t>
      </w:r>
      <w:r>
        <w:rPr>
          <w:rFonts w:hint="eastAsia"/>
          <w:sz w:val="21"/>
          <w:szCs w:val="22"/>
        </w:rPr>
        <w:t>吨以上摩擦力转递至机身；</w:t>
      </w:r>
    </w:p>
    <w:p w14:paraId="509D5FFA">
      <w:pPr>
        <w:pStyle w:val="4"/>
        <w:numPr>
          <w:ilvl w:val="0"/>
          <w:numId w:val="8"/>
        </w:numPr>
        <w:spacing w:beforeLines="0" w:afterLines="0"/>
        <w:ind w:firstLineChars="0"/>
        <w:rPr>
          <w:rFonts w:hint="default"/>
          <w:sz w:val="21"/>
          <w:szCs w:val="22"/>
        </w:rPr>
      </w:pPr>
      <w:r>
        <w:rPr>
          <w:rFonts w:hint="eastAsia"/>
          <w:sz w:val="21"/>
          <w:szCs w:val="22"/>
        </w:rPr>
        <w:t>临时支护面积大，人员工作范围在临时支护内，临时支护具备顶网挂网等功能</w:t>
      </w:r>
    </w:p>
    <w:p w14:paraId="35CF4B8C">
      <w:pPr>
        <w:pStyle w:val="4"/>
        <w:numPr>
          <w:ilvl w:val="0"/>
          <w:numId w:val="8"/>
        </w:numPr>
        <w:spacing w:beforeLines="0" w:afterLines="0"/>
        <w:ind w:firstLineChars="0"/>
        <w:rPr>
          <w:rFonts w:hint="default"/>
          <w:sz w:val="21"/>
          <w:szCs w:val="22"/>
        </w:rPr>
      </w:pPr>
      <w:r>
        <w:rPr>
          <w:rFonts w:hint="eastAsia"/>
          <w:sz w:val="21"/>
          <w:szCs w:val="22"/>
        </w:rPr>
        <w:t>取消前后伸缩功能；</w:t>
      </w:r>
    </w:p>
    <w:p w14:paraId="45A79EE9">
      <w:pPr>
        <w:pStyle w:val="4"/>
        <w:numPr>
          <w:ilvl w:val="0"/>
          <w:numId w:val="8"/>
        </w:numPr>
        <w:spacing w:beforeLines="0" w:afterLines="0"/>
        <w:ind w:firstLineChars="0"/>
        <w:rPr>
          <w:rFonts w:hint="default"/>
          <w:sz w:val="21"/>
          <w:szCs w:val="22"/>
        </w:rPr>
      </w:pPr>
      <w:r>
        <w:rPr>
          <w:rFonts w:hint="eastAsia"/>
          <w:sz w:val="21"/>
          <w:szCs w:val="22"/>
        </w:rPr>
        <w:t>增加风筒结构，将迎头污风吸收并收集至迈步除尘风机处；兼容传统机载除尘风机结构；</w:t>
      </w:r>
    </w:p>
    <w:p w14:paraId="1069FC29">
      <w:pPr>
        <w:pStyle w:val="4"/>
        <w:numPr>
          <w:ilvl w:val="0"/>
          <w:numId w:val="8"/>
        </w:numPr>
        <w:spacing w:beforeLines="0" w:afterLines="0"/>
        <w:ind w:firstLineChars="0"/>
        <w:rPr>
          <w:rFonts w:hint="default"/>
          <w:sz w:val="21"/>
          <w:szCs w:val="22"/>
        </w:rPr>
      </w:pPr>
      <w:r>
        <w:rPr>
          <w:rFonts w:hint="eastAsia"/>
          <w:sz w:val="21"/>
          <w:szCs w:val="22"/>
        </w:rPr>
        <w:t>部件成品总重不大于</w:t>
      </w:r>
      <w:r>
        <w:rPr>
          <w:rFonts w:hint="default"/>
          <w:sz w:val="21"/>
          <w:szCs w:val="22"/>
        </w:rPr>
        <w:t>5.5t</w:t>
      </w:r>
      <w:r>
        <w:rPr>
          <w:rFonts w:hint="eastAsia"/>
          <w:sz w:val="21"/>
          <w:szCs w:val="22"/>
        </w:rPr>
        <w:t>；</w:t>
      </w:r>
    </w:p>
    <w:p w14:paraId="39D9D94B">
      <w:pPr>
        <w:pStyle w:val="4"/>
        <w:numPr>
          <w:ilvl w:val="0"/>
          <w:numId w:val="8"/>
        </w:numPr>
        <w:spacing w:beforeLines="0" w:afterLines="0"/>
        <w:ind w:firstLineChars="0"/>
        <w:rPr>
          <w:rFonts w:hint="default"/>
          <w:sz w:val="21"/>
          <w:szCs w:val="22"/>
        </w:rPr>
      </w:pPr>
      <w:r>
        <w:rPr>
          <w:rFonts w:hint="eastAsia"/>
          <w:sz w:val="21"/>
          <w:szCs w:val="22"/>
        </w:rPr>
        <w:t>设计时注意整体拉力传递的连贯性；</w:t>
      </w:r>
    </w:p>
    <w:p w14:paraId="25144CC1">
      <w:pPr>
        <w:pStyle w:val="4"/>
        <w:numPr>
          <w:ilvl w:val="0"/>
          <w:numId w:val="8"/>
        </w:numPr>
        <w:spacing w:beforeLines="0" w:afterLines="0"/>
        <w:ind w:firstLineChars="0"/>
        <w:rPr>
          <w:rFonts w:hint="default"/>
          <w:sz w:val="21"/>
          <w:szCs w:val="22"/>
        </w:rPr>
      </w:pPr>
      <w:r>
        <w:rPr>
          <w:rFonts w:hint="eastAsia"/>
          <w:sz w:val="21"/>
          <w:szCs w:val="22"/>
        </w:rPr>
        <w:t>注意与临时支护宽度，临时支护宽度不应干扰侧板钻架施工及管路便利性；</w:t>
      </w:r>
    </w:p>
    <w:p w14:paraId="1E1A60F0">
      <w:pPr>
        <w:pStyle w:val="4"/>
        <w:numPr>
          <w:ilvl w:val="0"/>
          <w:numId w:val="2"/>
        </w:numPr>
        <w:spacing w:beforeLines="0" w:afterLines="0"/>
        <w:ind w:firstLineChars="0"/>
        <w:rPr>
          <w:rFonts w:hint="default"/>
          <w:b/>
          <w:sz w:val="21"/>
          <w:szCs w:val="22"/>
        </w:rPr>
      </w:pPr>
      <w:r>
        <w:rPr>
          <w:rFonts w:hint="eastAsia"/>
          <w:b/>
          <w:sz w:val="21"/>
          <w:szCs w:val="22"/>
        </w:rPr>
        <w:t>工作平台</w:t>
      </w:r>
    </w:p>
    <w:p w14:paraId="3B84B293">
      <w:pPr>
        <w:pStyle w:val="4"/>
        <w:numPr>
          <w:ilvl w:val="0"/>
          <w:numId w:val="9"/>
        </w:numPr>
        <w:spacing w:beforeLines="0" w:afterLines="0"/>
        <w:ind w:firstLineChars="0"/>
        <w:rPr>
          <w:rFonts w:hint="default"/>
          <w:sz w:val="21"/>
          <w:szCs w:val="22"/>
        </w:rPr>
      </w:pPr>
      <w:r>
        <w:rPr>
          <w:rFonts w:hint="eastAsia"/>
          <w:sz w:val="21"/>
          <w:szCs w:val="22"/>
        </w:rPr>
        <w:t>掘进司机位于电气侧，司机位增加二维机械水平仪，保证整机施工平稳；司机位增加显示屏，司机可以实施观察整机各项参数；</w:t>
      </w:r>
    </w:p>
    <w:p w14:paraId="4CAB37E2">
      <w:pPr>
        <w:pStyle w:val="4"/>
        <w:numPr>
          <w:ilvl w:val="0"/>
          <w:numId w:val="9"/>
        </w:numPr>
        <w:spacing w:beforeLines="0" w:afterLines="0"/>
        <w:ind w:firstLineChars="0"/>
        <w:rPr>
          <w:rFonts w:hint="default"/>
          <w:sz w:val="21"/>
          <w:szCs w:val="22"/>
        </w:rPr>
      </w:pPr>
      <w:r>
        <w:rPr>
          <w:rFonts w:hint="eastAsia"/>
          <w:sz w:val="21"/>
          <w:szCs w:val="22"/>
        </w:rPr>
        <w:t>平台收回时整机尺寸</w:t>
      </w:r>
      <w:r>
        <w:rPr>
          <w:rFonts w:hint="default"/>
          <w:sz w:val="21"/>
          <w:szCs w:val="22"/>
        </w:rPr>
        <w:t>4600mm</w:t>
      </w:r>
      <w:r>
        <w:rPr>
          <w:rFonts w:hint="eastAsia"/>
          <w:sz w:val="21"/>
          <w:szCs w:val="22"/>
        </w:rPr>
        <w:t>，扩展时整机尺寸</w:t>
      </w:r>
      <w:r>
        <w:rPr>
          <w:rFonts w:hint="default"/>
          <w:sz w:val="21"/>
          <w:szCs w:val="22"/>
        </w:rPr>
        <w:t>5350mm</w:t>
      </w:r>
      <w:r>
        <w:rPr>
          <w:rFonts w:hint="eastAsia"/>
          <w:sz w:val="21"/>
          <w:szCs w:val="22"/>
        </w:rPr>
        <w:t>；</w:t>
      </w:r>
    </w:p>
    <w:p w14:paraId="2D05F726">
      <w:pPr>
        <w:pStyle w:val="4"/>
        <w:numPr>
          <w:ilvl w:val="0"/>
          <w:numId w:val="9"/>
        </w:numPr>
        <w:spacing w:beforeLines="0" w:afterLines="0"/>
        <w:ind w:firstLineChars="0"/>
        <w:rPr>
          <w:rFonts w:hint="default"/>
          <w:sz w:val="21"/>
          <w:szCs w:val="22"/>
        </w:rPr>
      </w:pPr>
      <w:r>
        <w:rPr>
          <w:rFonts w:hint="eastAsia"/>
          <w:sz w:val="21"/>
          <w:szCs w:val="22"/>
        </w:rPr>
        <w:t>平台扩展长度范围不低于</w:t>
      </w:r>
      <w:r>
        <w:rPr>
          <w:rFonts w:hint="default"/>
          <w:sz w:val="21"/>
          <w:szCs w:val="22"/>
        </w:rPr>
        <w:t>3400mm</w:t>
      </w:r>
      <w:r>
        <w:rPr>
          <w:rFonts w:hint="eastAsia"/>
          <w:sz w:val="21"/>
          <w:szCs w:val="22"/>
        </w:rPr>
        <w:t>；扩展后，平台应有舒适的上下台阶（爬梯）</w:t>
      </w:r>
    </w:p>
    <w:p w14:paraId="429F3A77">
      <w:pPr>
        <w:pStyle w:val="4"/>
        <w:numPr>
          <w:ilvl w:val="0"/>
          <w:numId w:val="9"/>
        </w:numPr>
        <w:spacing w:beforeLines="0" w:afterLines="0"/>
        <w:ind w:firstLineChars="0"/>
        <w:rPr>
          <w:rFonts w:hint="default"/>
          <w:sz w:val="21"/>
          <w:szCs w:val="22"/>
        </w:rPr>
      </w:pPr>
      <w:r>
        <w:rPr>
          <w:rFonts w:hint="eastAsia"/>
          <w:sz w:val="21"/>
          <w:szCs w:val="22"/>
        </w:rPr>
        <w:t>人机操作合理，钻架操作阀手柄高度距离人员站立面不低于</w:t>
      </w:r>
      <w:r>
        <w:rPr>
          <w:rFonts w:hint="default"/>
          <w:sz w:val="21"/>
          <w:szCs w:val="22"/>
        </w:rPr>
        <w:t>1200mm</w:t>
      </w:r>
      <w:r>
        <w:rPr>
          <w:rFonts w:hint="eastAsia"/>
          <w:sz w:val="21"/>
          <w:szCs w:val="22"/>
        </w:rPr>
        <w:t>；侧板与顶帮人员施工高空作业时，应有安全宽广平台暂时站立，并保证安全；</w:t>
      </w:r>
    </w:p>
    <w:p w14:paraId="32F10AA5">
      <w:pPr>
        <w:pStyle w:val="4"/>
        <w:numPr>
          <w:ilvl w:val="0"/>
          <w:numId w:val="9"/>
        </w:numPr>
        <w:spacing w:beforeLines="0" w:afterLines="0"/>
        <w:ind w:firstLineChars="0"/>
        <w:rPr>
          <w:rFonts w:hint="default"/>
          <w:sz w:val="21"/>
          <w:szCs w:val="22"/>
        </w:rPr>
      </w:pPr>
      <w:r>
        <w:rPr>
          <w:rFonts w:hint="eastAsia"/>
          <w:sz w:val="21"/>
          <w:szCs w:val="22"/>
        </w:rPr>
        <w:t>钻架均有电液控，提前设置安装位置；</w:t>
      </w:r>
    </w:p>
    <w:p w14:paraId="2DFBA03F">
      <w:pPr>
        <w:pStyle w:val="4"/>
        <w:numPr>
          <w:ilvl w:val="0"/>
          <w:numId w:val="9"/>
        </w:numPr>
        <w:spacing w:beforeLines="0" w:afterLines="0"/>
        <w:ind w:firstLineChars="0"/>
        <w:rPr>
          <w:rFonts w:hint="default"/>
          <w:sz w:val="21"/>
          <w:szCs w:val="22"/>
        </w:rPr>
      </w:pPr>
      <w:r>
        <w:rPr>
          <w:rFonts w:hint="eastAsia"/>
          <w:sz w:val="21"/>
          <w:szCs w:val="22"/>
        </w:rPr>
        <w:t>设计工具箱，锚护物料存放平台，锚护工具项等装置；</w:t>
      </w:r>
    </w:p>
    <w:p w14:paraId="7823581A">
      <w:pPr>
        <w:pStyle w:val="4"/>
        <w:numPr>
          <w:ilvl w:val="0"/>
          <w:numId w:val="9"/>
        </w:numPr>
        <w:spacing w:beforeLines="0" w:afterLines="0"/>
        <w:ind w:firstLineChars="0"/>
        <w:rPr>
          <w:rFonts w:hint="default"/>
          <w:sz w:val="21"/>
          <w:szCs w:val="22"/>
        </w:rPr>
      </w:pPr>
      <w:r>
        <w:rPr>
          <w:rFonts w:hint="eastAsia"/>
          <w:sz w:val="21"/>
          <w:szCs w:val="22"/>
        </w:rPr>
        <w:t>平台设置有可调节高度，可拆装的顶部锚护操作安全顶棚；</w:t>
      </w:r>
    </w:p>
    <w:p w14:paraId="23D4FD40">
      <w:pPr>
        <w:pStyle w:val="4"/>
        <w:numPr>
          <w:ilvl w:val="0"/>
          <w:numId w:val="9"/>
        </w:numPr>
        <w:spacing w:beforeLines="0" w:afterLines="0"/>
        <w:ind w:firstLineChars="0"/>
        <w:rPr>
          <w:rFonts w:hint="default"/>
          <w:sz w:val="21"/>
          <w:szCs w:val="22"/>
        </w:rPr>
      </w:pPr>
      <w:r>
        <w:rPr>
          <w:rFonts w:hint="eastAsia"/>
          <w:sz w:val="21"/>
          <w:szCs w:val="22"/>
        </w:rPr>
        <w:t>根据巷道高度，有可调节、稳定的人员施工平台，可以液压调节，与钻架操作箱，安全顶棚等同时升降；</w:t>
      </w:r>
    </w:p>
    <w:p w14:paraId="72BB13AE">
      <w:pPr>
        <w:pStyle w:val="4"/>
        <w:numPr>
          <w:ilvl w:val="0"/>
          <w:numId w:val="9"/>
        </w:numPr>
        <w:spacing w:beforeLines="0" w:afterLines="0"/>
        <w:ind w:firstLineChars="0"/>
        <w:rPr>
          <w:rFonts w:hint="default"/>
          <w:sz w:val="21"/>
          <w:szCs w:val="22"/>
        </w:rPr>
      </w:pPr>
      <w:r>
        <w:rPr>
          <w:rFonts w:hint="eastAsia"/>
          <w:sz w:val="21"/>
          <w:szCs w:val="22"/>
        </w:rPr>
        <w:t>设计语音喊话器功能位置，方便人员交流，平台尾部预留运锚破（梭车）急停按钮安装座；与本体急停位置区分明显；</w:t>
      </w:r>
    </w:p>
    <w:p w14:paraId="41E17C67">
      <w:pPr>
        <w:pStyle w:val="4"/>
        <w:numPr>
          <w:ilvl w:val="0"/>
          <w:numId w:val="9"/>
        </w:numPr>
        <w:spacing w:beforeLines="0" w:afterLines="0"/>
        <w:ind w:firstLineChars="0"/>
        <w:rPr>
          <w:rFonts w:hint="default"/>
          <w:sz w:val="21"/>
          <w:szCs w:val="22"/>
        </w:rPr>
      </w:pPr>
      <w:r>
        <w:rPr>
          <w:rFonts w:hint="eastAsia"/>
          <w:sz w:val="21"/>
          <w:szCs w:val="22"/>
        </w:rPr>
        <w:t>整机照明灯共</w:t>
      </w:r>
      <w:r>
        <w:rPr>
          <w:rFonts w:hint="default"/>
          <w:sz w:val="21"/>
          <w:szCs w:val="22"/>
        </w:rPr>
        <w:t>6</w:t>
      </w:r>
      <w:r>
        <w:rPr>
          <w:rFonts w:hint="eastAsia"/>
          <w:sz w:val="21"/>
          <w:szCs w:val="22"/>
        </w:rPr>
        <w:t>盏，左右平台各</w:t>
      </w:r>
      <w:r>
        <w:rPr>
          <w:rFonts w:hint="default"/>
          <w:sz w:val="21"/>
          <w:szCs w:val="22"/>
        </w:rPr>
        <w:t>3</w:t>
      </w:r>
      <w:r>
        <w:rPr>
          <w:rFonts w:hint="eastAsia"/>
          <w:sz w:val="21"/>
          <w:szCs w:val="22"/>
        </w:rPr>
        <w:t>盏；分别对顶锚施工区域，帮锚施工区域，辅助区域进行照明，照明灯不应晃眼；</w:t>
      </w:r>
    </w:p>
    <w:p w14:paraId="636DC510">
      <w:pPr>
        <w:pStyle w:val="4"/>
        <w:numPr>
          <w:ilvl w:val="0"/>
          <w:numId w:val="9"/>
        </w:numPr>
        <w:spacing w:beforeLines="0" w:afterLines="0"/>
        <w:ind w:firstLineChars="0"/>
        <w:rPr>
          <w:rFonts w:hint="default"/>
          <w:sz w:val="21"/>
          <w:szCs w:val="22"/>
        </w:rPr>
      </w:pPr>
      <w:r>
        <w:rPr>
          <w:rFonts w:hint="eastAsia"/>
          <w:sz w:val="21"/>
          <w:szCs w:val="22"/>
        </w:rPr>
        <w:t>平台形状为长直角梯形结构；</w:t>
      </w:r>
    </w:p>
    <w:p w14:paraId="79C7B061">
      <w:pPr>
        <w:pStyle w:val="4"/>
        <w:numPr>
          <w:ilvl w:val="0"/>
          <w:numId w:val="9"/>
        </w:numPr>
        <w:spacing w:beforeLines="0" w:afterLines="0"/>
        <w:ind w:firstLineChars="0"/>
        <w:rPr>
          <w:rFonts w:hint="default"/>
          <w:sz w:val="21"/>
          <w:szCs w:val="22"/>
        </w:rPr>
      </w:pPr>
      <w:r>
        <w:rPr>
          <w:rFonts w:hint="eastAsia"/>
          <w:sz w:val="21"/>
          <w:szCs w:val="22"/>
        </w:rPr>
        <w:t>平台总重量（支撑平台加工作平台）应控制在</w:t>
      </w:r>
      <w:r>
        <w:rPr>
          <w:rFonts w:hint="default"/>
          <w:sz w:val="21"/>
          <w:szCs w:val="22"/>
        </w:rPr>
        <w:t>9t</w:t>
      </w:r>
      <w:r>
        <w:rPr>
          <w:rFonts w:hint="eastAsia"/>
          <w:sz w:val="21"/>
          <w:szCs w:val="22"/>
        </w:rPr>
        <w:t>以内；</w:t>
      </w:r>
    </w:p>
    <w:p w14:paraId="53D5EB1B">
      <w:pPr>
        <w:pStyle w:val="4"/>
        <w:numPr>
          <w:ilvl w:val="0"/>
          <w:numId w:val="9"/>
        </w:numPr>
        <w:spacing w:beforeLines="0" w:afterLines="0"/>
        <w:ind w:firstLineChars="0"/>
        <w:rPr>
          <w:rFonts w:hint="default"/>
          <w:sz w:val="21"/>
          <w:szCs w:val="22"/>
        </w:rPr>
      </w:pPr>
      <w:r>
        <w:rPr>
          <w:rFonts w:hint="eastAsia"/>
          <w:sz w:val="21"/>
          <w:szCs w:val="22"/>
        </w:rPr>
        <w:t>在施工</w:t>
      </w:r>
      <w:r>
        <w:rPr>
          <w:rFonts w:hint="default"/>
          <w:sz w:val="21"/>
          <w:szCs w:val="22"/>
        </w:rPr>
        <w:t>2.8</w:t>
      </w:r>
      <w:r>
        <w:rPr>
          <w:rFonts w:hint="eastAsia"/>
          <w:sz w:val="21"/>
          <w:szCs w:val="22"/>
        </w:rPr>
        <w:t>高度巷道时，</w:t>
      </w:r>
    </w:p>
    <w:p w14:paraId="6476F939">
      <w:pPr>
        <w:pStyle w:val="4"/>
        <w:numPr>
          <w:ilvl w:val="0"/>
          <w:numId w:val="2"/>
        </w:numPr>
        <w:spacing w:beforeLines="0" w:afterLines="0"/>
        <w:ind w:firstLineChars="0"/>
        <w:rPr>
          <w:rFonts w:hint="default"/>
          <w:b/>
          <w:sz w:val="21"/>
          <w:szCs w:val="22"/>
        </w:rPr>
      </w:pPr>
      <w:r>
        <w:rPr>
          <w:rFonts w:hint="eastAsia"/>
          <w:b/>
          <w:sz w:val="21"/>
          <w:szCs w:val="22"/>
        </w:rPr>
        <w:t>锚护系统</w:t>
      </w:r>
    </w:p>
    <w:p w14:paraId="5C95E4C1">
      <w:pPr>
        <w:pStyle w:val="4"/>
        <w:numPr>
          <w:ilvl w:val="0"/>
          <w:numId w:val="10"/>
        </w:numPr>
        <w:spacing w:beforeLines="0" w:afterLines="0"/>
        <w:ind w:firstLineChars="0"/>
        <w:rPr>
          <w:rFonts w:hint="default"/>
          <w:sz w:val="21"/>
          <w:szCs w:val="21"/>
        </w:rPr>
      </w:pPr>
      <w:r>
        <w:rPr>
          <w:rFonts w:hint="eastAsia"/>
          <w:sz w:val="21"/>
          <w:szCs w:val="21"/>
        </w:rPr>
        <w:t>前部钻架数量为</w:t>
      </w:r>
      <w:r>
        <w:rPr>
          <w:rFonts w:hint="default"/>
          <w:sz w:val="21"/>
          <w:szCs w:val="21"/>
        </w:rPr>
        <w:t>4</w:t>
      </w:r>
      <w:r>
        <w:rPr>
          <w:rFonts w:hint="eastAsia"/>
          <w:sz w:val="21"/>
          <w:szCs w:val="21"/>
        </w:rPr>
        <w:t>，后部为</w:t>
      </w:r>
      <w:r>
        <w:rPr>
          <w:rFonts w:hint="default"/>
          <w:sz w:val="21"/>
          <w:szCs w:val="21"/>
        </w:rPr>
        <w:t>2</w:t>
      </w:r>
      <w:r>
        <w:rPr>
          <w:rFonts w:hint="eastAsia"/>
          <w:sz w:val="21"/>
          <w:szCs w:val="21"/>
        </w:rPr>
        <w:t>台，前后钻机钻箱中心孔距离为</w:t>
      </w:r>
      <w:r>
        <w:rPr>
          <w:rFonts w:hint="default"/>
          <w:sz w:val="21"/>
          <w:szCs w:val="21"/>
        </w:rPr>
        <w:t>1600mm-2000mm</w:t>
      </w:r>
      <w:r>
        <w:rPr>
          <w:rFonts w:hint="eastAsia"/>
          <w:sz w:val="21"/>
          <w:szCs w:val="21"/>
        </w:rPr>
        <w:t>（策划钻机种类）</w:t>
      </w:r>
    </w:p>
    <w:p w14:paraId="2BE1CB8A">
      <w:pPr>
        <w:pStyle w:val="4"/>
        <w:numPr>
          <w:ilvl w:val="0"/>
          <w:numId w:val="10"/>
        </w:numPr>
        <w:spacing w:beforeLines="0" w:afterLines="0"/>
        <w:ind w:firstLineChars="0"/>
        <w:rPr>
          <w:rFonts w:hint="default"/>
          <w:sz w:val="21"/>
          <w:szCs w:val="21"/>
        </w:rPr>
      </w:pPr>
      <w:r>
        <w:rPr>
          <w:rFonts w:hint="eastAsia"/>
          <w:sz w:val="21"/>
          <w:szCs w:val="21"/>
        </w:rPr>
        <w:t>左侧配置锚索张拉装置（锚索张拉力</w:t>
      </w:r>
      <w:r>
        <w:rPr>
          <w:rFonts w:hint="default"/>
          <w:sz w:val="21"/>
          <w:szCs w:val="21"/>
        </w:rPr>
        <w:t>200KN</w:t>
      </w:r>
      <w:r>
        <w:rPr>
          <w:rFonts w:hint="eastAsia"/>
          <w:sz w:val="21"/>
          <w:szCs w:val="21"/>
        </w:rPr>
        <w:t>）和压力表，右侧配置液压剪。张拉泵操作阀和压力表设置于钻臂操作台范围内，便于司机观察和操作。</w:t>
      </w:r>
    </w:p>
    <w:p w14:paraId="1607B746">
      <w:pPr>
        <w:pStyle w:val="4"/>
        <w:numPr>
          <w:ilvl w:val="0"/>
          <w:numId w:val="10"/>
        </w:numPr>
        <w:spacing w:beforeLines="0" w:afterLines="0"/>
        <w:ind w:firstLineChars="0"/>
        <w:rPr>
          <w:rFonts w:hint="default"/>
          <w:sz w:val="21"/>
          <w:szCs w:val="21"/>
        </w:rPr>
      </w:pPr>
      <w:r>
        <w:rPr>
          <w:rFonts w:hint="eastAsia"/>
          <w:sz w:val="21"/>
          <w:szCs w:val="21"/>
        </w:rPr>
        <w:t>顶帮钻架应设计调节高度支撑座，适应在不同高度，可以使用不同尺寸钻架进行施工。</w:t>
      </w:r>
    </w:p>
    <w:p w14:paraId="0DA30C5A">
      <w:pPr>
        <w:pStyle w:val="4"/>
        <w:numPr>
          <w:ilvl w:val="0"/>
          <w:numId w:val="10"/>
        </w:numPr>
        <w:spacing w:beforeLines="0" w:afterLines="0"/>
        <w:ind w:firstLineChars="0"/>
        <w:rPr>
          <w:rFonts w:hint="default"/>
          <w:sz w:val="21"/>
          <w:szCs w:val="21"/>
        </w:rPr>
      </w:pPr>
      <w:r>
        <w:rPr>
          <w:rFonts w:hint="eastAsia"/>
          <w:sz w:val="21"/>
          <w:szCs w:val="21"/>
        </w:rPr>
        <w:t>测帮钻架上下调节高度不小于</w:t>
      </w:r>
      <w:r>
        <w:rPr>
          <w:rFonts w:hint="default"/>
          <w:sz w:val="21"/>
          <w:szCs w:val="21"/>
        </w:rPr>
        <w:t>1000mm,</w:t>
      </w:r>
      <w:r>
        <w:rPr>
          <w:rFonts w:hint="eastAsia"/>
          <w:sz w:val="21"/>
          <w:szCs w:val="21"/>
        </w:rPr>
        <w:t>可垂直收起，可设计随动升降平台与操作箱，与平台研发工程师协调，防止干涉，管路排布困难等问题；</w:t>
      </w:r>
    </w:p>
    <w:p w14:paraId="622AFED3">
      <w:pPr>
        <w:pStyle w:val="4"/>
        <w:numPr>
          <w:ilvl w:val="0"/>
          <w:numId w:val="10"/>
        </w:numPr>
        <w:spacing w:beforeLines="0" w:afterLines="0"/>
        <w:ind w:firstLineChars="0"/>
        <w:rPr>
          <w:rFonts w:hint="default"/>
          <w:sz w:val="21"/>
          <w:szCs w:val="21"/>
        </w:rPr>
      </w:pPr>
      <w:r>
        <w:rPr>
          <w:rFonts w:hint="eastAsia"/>
          <w:sz w:val="21"/>
          <w:szCs w:val="21"/>
        </w:rPr>
        <w:t>钻架使用圆柱导轨型钻架，防止夹钳油缸管路出现吸空近气问题；</w:t>
      </w:r>
    </w:p>
    <w:p w14:paraId="2522D7A9">
      <w:pPr>
        <w:pStyle w:val="4"/>
        <w:snapToGrid w:val="0"/>
        <w:spacing w:beforeLines="0" w:afterLines="0" w:line="360" w:lineRule="auto"/>
        <w:ind w:left="420" w:firstLine="0" w:firstLineChars="0"/>
        <w:rPr>
          <w:rFonts w:hint="default" w:ascii="Times New Roman"/>
          <w:sz w:val="21"/>
          <w:szCs w:val="21"/>
        </w:rPr>
      </w:pPr>
      <w:r>
        <w:rPr>
          <w:rFonts w:hint="eastAsia" w:ascii="Times New Roman" w:hAnsi="Times New Roman"/>
          <w:sz w:val="21"/>
          <w:szCs w:val="21"/>
        </w:rPr>
        <w:t>外侧钻臂（</w:t>
      </w:r>
      <w:r>
        <w:rPr>
          <w:rFonts w:hint="default" w:ascii="Times New Roman" w:hAnsi="Times New Roman"/>
          <w:sz w:val="21"/>
          <w:szCs w:val="21"/>
        </w:rPr>
        <w:t>1#</w:t>
      </w:r>
      <w:r>
        <w:rPr>
          <w:rFonts w:hint="eastAsia" w:ascii="Times New Roman" w:hAnsi="Times New Roman"/>
          <w:sz w:val="21"/>
          <w:szCs w:val="21"/>
        </w:rPr>
        <w:t>和</w:t>
      </w:r>
      <w:r>
        <w:rPr>
          <w:rFonts w:hint="default" w:ascii="Times New Roman" w:hAnsi="Times New Roman"/>
          <w:sz w:val="21"/>
          <w:szCs w:val="21"/>
        </w:rPr>
        <w:t>4#</w:t>
      </w:r>
      <w:r>
        <w:rPr>
          <w:rFonts w:hint="eastAsia" w:ascii="Times New Roman" w:hAnsi="Times New Roman"/>
          <w:sz w:val="21"/>
          <w:szCs w:val="21"/>
        </w:rPr>
        <w:t>钻臂）向外（巷道两帮）摆动角度：</w:t>
      </w:r>
      <w:r>
        <w:rPr>
          <w:rFonts w:hint="eastAsia"/>
          <w:sz w:val="21"/>
          <w:szCs w:val="21"/>
        </w:rPr>
        <w:t>≥</w:t>
      </w:r>
      <w:r>
        <w:rPr>
          <w:rFonts w:hint="default" w:ascii="Times New Roman" w:hAnsi="Times New Roman"/>
          <w:sz w:val="21"/>
          <w:szCs w:val="21"/>
        </w:rPr>
        <w:t>16</w:t>
      </w:r>
      <w:r>
        <w:rPr>
          <w:rFonts w:hint="eastAsia" w:ascii="Times New Roman" w:hAnsi="Times New Roman"/>
          <w:sz w:val="21"/>
          <w:szCs w:val="21"/>
        </w:rPr>
        <w:t>°</w:t>
      </w:r>
    </w:p>
    <w:p w14:paraId="186146D6">
      <w:pPr>
        <w:pStyle w:val="4"/>
        <w:snapToGrid w:val="0"/>
        <w:spacing w:beforeLines="0" w:afterLines="0" w:line="360" w:lineRule="auto"/>
        <w:ind w:left="420" w:firstLine="0" w:firstLineChars="0"/>
        <w:rPr>
          <w:rFonts w:hint="default" w:ascii="Times New Roman"/>
          <w:sz w:val="21"/>
          <w:szCs w:val="21"/>
        </w:rPr>
      </w:pPr>
      <w:r>
        <w:rPr>
          <w:rFonts w:hint="eastAsia" w:ascii="Times New Roman" w:hAnsi="Times New Roman"/>
          <w:sz w:val="21"/>
          <w:szCs w:val="21"/>
        </w:rPr>
        <w:t>外侧钻臂（</w:t>
      </w:r>
      <w:r>
        <w:rPr>
          <w:rFonts w:hint="default" w:ascii="Times New Roman" w:hAnsi="Times New Roman"/>
          <w:sz w:val="21"/>
          <w:szCs w:val="21"/>
        </w:rPr>
        <w:t>1#</w:t>
      </w:r>
      <w:r>
        <w:rPr>
          <w:rFonts w:hint="eastAsia" w:ascii="Times New Roman" w:hAnsi="Times New Roman"/>
          <w:sz w:val="21"/>
          <w:szCs w:val="21"/>
        </w:rPr>
        <w:t>和</w:t>
      </w:r>
      <w:r>
        <w:rPr>
          <w:rFonts w:hint="default" w:ascii="Times New Roman" w:hAnsi="Times New Roman"/>
          <w:sz w:val="21"/>
          <w:szCs w:val="21"/>
        </w:rPr>
        <w:t>4#</w:t>
      </w:r>
      <w:r>
        <w:rPr>
          <w:rFonts w:hint="eastAsia" w:ascii="Times New Roman" w:hAnsi="Times New Roman"/>
          <w:sz w:val="21"/>
          <w:szCs w:val="21"/>
        </w:rPr>
        <w:t>钻臂）向内摆动角度：</w:t>
      </w:r>
      <w:r>
        <w:rPr>
          <w:rFonts w:hint="eastAsia"/>
          <w:sz w:val="21"/>
          <w:szCs w:val="21"/>
        </w:rPr>
        <w:t>≥</w:t>
      </w:r>
      <w:r>
        <w:rPr>
          <w:rFonts w:hint="default" w:ascii="Times New Roman" w:hAnsi="Times New Roman"/>
          <w:sz w:val="21"/>
          <w:szCs w:val="21"/>
        </w:rPr>
        <w:t>10</w:t>
      </w:r>
      <w:r>
        <w:rPr>
          <w:rFonts w:hint="eastAsia" w:ascii="Times New Roman" w:hAnsi="Times New Roman"/>
          <w:sz w:val="21"/>
          <w:szCs w:val="21"/>
        </w:rPr>
        <w:t>°</w:t>
      </w:r>
    </w:p>
    <w:p w14:paraId="46690102">
      <w:pPr>
        <w:pStyle w:val="4"/>
        <w:snapToGrid w:val="0"/>
        <w:spacing w:beforeLines="0" w:afterLines="0" w:line="360" w:lineRule="auto"/>
        <w:ind w:left="420" w:firstLine="0" w:firstLineChars="0"/>
        <w:rPr>
          <w:rFonts w:hint="default" w:ascii="Times New Roman"/>
          <w:sz w:val="21"/>
          <w:szCs w:val="21"/>
        </w:rPr>
      </w:pPr>
      <w:r>
        <w:rPr>
          <w:rFonts w:hint="eastAsia" w:ascii="Times New Roman" w:hAnsi="Times New Roman"/>
          <w:sz w:val="21"/>
          <w:szCs w:val="21"/>
        </w:rPr>
        <w:t>外侧钻臂（</w:t>
      </w:r>
      <w:r>
        <w:rPr>
          <w:rFonts w:hint="default" w:ascii="Times New Roman" w:hAnsi="Times New Roman"/>
          <w:sz w:val="21"/>
          <w:szCs w:val="21"/>
        </w:rPr>
        <w:t>1#</w:t>
      </w:r>
      <w:r>
        <w:rPr>
          <w:rFonts w:hint="eastAsia" w:ascii="Times New Roman" w:hAnsi="Times New Roman"/>
          <w:sz w:val="21"/>
          <w:szCs w:val="21"/>
        </w:rPr>
        <w:t>和</w:t>
      </w:r>
      <w:r>
        <w:rPr>
          <w:rFonts w:hint="default" w:ascii="Times New Roman" w:hAnsi="Times New Roman"/>
          <w:sz w:val="21"/>
          <w:szCs w:val="21"/>
        </w:rPr>
        <w:t>4#</w:t>
      </w:r>
      <w:r>
        <w:rPr>
          <w:rFonts w:hint="eastAsia" w:ascii="Times New Roman" w:hAnsi="Times New Roman"/>
          <w:sz w:val="21"/>
          <w:szCs w:val="21"/>
        </w:rPr>
        <w:t>钻臂）向前（掘进方向）摆动角度：</w:t>
      </w:r>
      <w:r>
        <w:rPr>
          <w:rFonts w:hint="eastAsia"/>
          <w:sz w:val="21"/>
          <w:szCs w:val="21"/>
        </w:rPr>
        <w:t>≥</w:t>
      </w:r>
      <w:r>
        <w:rPr>
          <w:rFonts w:hint="default" w:ascii="Times New Roman" w:hAnsi="Times New Roman"/>
          <w:sz w:val="21"/>
          <w:szCs w:val="21"/>
        </w:rPr>
        <w:t>2</w:t>
      </w:r>
      <w:r>
        <w:rPr>
          <w:rFonts w:hint="eastAsia" w:ascii="Times New Roman" w:hAnsi="Times New Roman"/>
          <w:sz w:val="21"/>
          <w:szCs w:val="21"/>
        </w:rPr>
        <w:t>°</w:t>
      </w:r>
    </w:p>
    <w:p w14:paraId="68EC553C">
      <w:pPr>
        <w:pStyle w:val="4"/>
        <w:snapToGrid w:val="0"/>
        <w:spacing w:beforeLines="0" w:afterLines="0" w:line="360" w:lineRule="auto"/>
        <w:ind w:left="420" w:firstLine="0" w:firstLineChars="0"/>
        <w:rPr>
          <w:rFonts w:hint="default" w:ascii="Times New Roman"/>
          <w:sz w:val="21"/>
          <w:szCs w:val="21"/>
        </w:rPr>
      </w:pPr>
      <w:r>
        <w:rPr>
          <w:rFonts w:hint="eastAsia" w:ascii="Times New Roman" w:hAnsi="Times New Roman"/>
          <w:sz w:val="21"/>
          <w:szCs w:val="21"/>
        </w:rPr>
        <w:t>外侧钻臂（</w:t>
      </w:r>
      <w:r>
        <w:rPr>
          <w:rFonts w:hint="default" w:ascii="Times New Roman" w:hAnsi="Times New Roman"/>
          <w:sz w:val="21"/>
          <w:szCs w:val="21"/>
        </w:rPr>
        <w:t>1#</w:t>
      </w:r>
      <w:r>
        <w:rPr>
          <w:rFonts w:hint="eastAsia" w:ascii="Times New Roman" w:hAnsi="Times New Roman"/>
          <w:sz w:val="21"/>
          <w:szCs w:val="21"/>
        </w:rPr>
        <w:t>和</w:t>
      </w:r>
      <w:r>
        <w:rPr>
          <w:rFonts w:hint="default" w:ascii="Times New Roman" w:hAnsi="Times New Roman"/>
          <w:sz w:val="21"/>
          <w:szCs w:val="21"/>
        </w:rPr>
        <w:t>4#</w:t>
      </w:r>
      <w:r>
        <w:rPr>
          <w:rFonts w:hint="eastAsia" w:ascii="Times New Roman" w:hAnsi="Times New Roman"/>
          <w:sz w:val="21"/>
          <w:szCs w:val="21"/>
        </w:rPr>
        <w:t>钻臂）向后摆动角度：</w:t>
      </w:r>
      <w:r>
        <w:rPr>
          <w:rFonts w:hint="eastAsia"/>
          <w:sz w:val="21"/>
          <w:szCs w:val="21"/>
        </w:rPr>
        <w:t>≥</w:t>
      </w:r>
      <w:r>
        <w:rPr>
          <w:rFonts w:hint="default" w:ascii="Times New Roman" w:hAnsi="Times New Roman"/>
          <w:sz w:val="21"/>
          <w:szCs w:val="21"/>
        </w:rPr>
        <w:t>2</w:t>
      </w:r>
      <w:r>
        <w:rPr>
          <w:rFonts w:hint="eastAsia" w:ascii="Times New Roman" w:hAnsi="Times New Roman"/>
          <w:sz w:val="21"/>
          <w:szCs w:val="21"/>
        </w:rPr>
        <w:t>°</w:t>
      </w:r>
    </w:p>
    <w:p w14:paraId="777104D9">
      <w:pPr>
        <w:pStyle w:val="4"/>
        <w:snapToGrid w:val="0"/>
        <w:spacing w:beforeLines="0" w:afterLines="0" w:line="360" w:lineRule="auto"/>
        <w:ind w:left="420" w:firstLine="0" w:firstLineChars="0"/>
        <w:rPr>
          <w:rFonts w:hint="default" w:ascii="Times New Roman"/>
          <w:sz w:val="21"/>
          <w:szCs w:val="21"/>
        </w:rPr>
      </w:pPr>
      <w:r>
        <w:rPr>
          <w:rFonts w:hint="eastAsia" w:ascii="Times New Roman" w:hAnsi="Times New Roman"/>
          <w:sz w:val="21"/>
          <w:szCs w:val="21"/>
        </w:rPr>
        <w:t>内侧钻臂（</w:t>
      </w:r>
      <w:r>
        <w:rPr>
          <w:rFonts w:hint="default" w:ascii="Times New Roman" w:hAnsi="Times New Roman"/>
          <w:sz w:val="21"/>
          <w:szCs w:val="21"/>
        </w:rPr>
        <w:t>2#</w:t>
      </w:r>
      <w:r>
        <w:rPr>
          <w:rFonts w:hint="eastAsia" w:ascii="Times New Roman" w:hAnsi="Times New Roman"/>
          <w:sz w:val="21"/>
          <w:szCs w:val="21"/>
        </w:rPr>
        <w:t>和</w:t>
      </w:r>
      <w:r>
        <w:rPr>
          <w:rFonts w:hint="default" w:ascii="Times New Roman" w:hAnsi="Times New Roman"/>
          <w:sz w:val="21"/>
          <w:szCs w:val="21"/>
        </w:rPr>
        <w:t>3#</w:t>
      </w:r>
      <w:r>
        <w:rPr>
          <w:rFonts w:hint="eastAsia" w:ascii="Times New Roman" w:hAnsi="Times New Roman"/>
          <w:sz w:val="21"/>
          <w:szCs w:val="21"/>
        </w:rPr>
        <w:t>钻臂）向外（巷道两帮）摆动角度：</w:t>
      </w:r>
      <w:r>
        <w:rPr>
          <w:rFonts w:hint="eastAsia"/>
          <w:sz w:val="21"/>
          <w:szCs w:val="21"/>
        </w:rPr>
        <w:t>≥</w:t>
      </w:r>
      <w:r>
        <w:rPr>
          <w:rFonts w:hint="default" w:ascii="Times New Roman" w:hAnsi="Times New Roman"/>
          <w:sz w:val="21"/>
          <w:szCs w:val="21"/>
        </w:rPr>
        <w:t>12</w:t>
      </w:r>
      <w:r>
        <w:rPr>
          <w:rFonts w:hint="eastAsia" w:ascii="Times New Roman" w:hAnsi="Times New Roman"/>
          <w:sz w:val="21"/>
          <w:szCs w:val="21"/>
        </w:rPr>
        <w:t>°</w:t>
      </w:r>
    </w:p>
    <w:p w14:paraId="5CE59C9F">
      <w:pPr>
        <w:pStyle w:val="4"/>
        <w:snapToGrid w:val="0"/>
        <w:spacing w:beforeLines="0" w:afterLines="0" w:line="360" w:lineRule="auto"/>
        <w:ind w:left="420" w:firstLine="0" w:firstLineChars="0"/>
        <w:rPr>
          <w:rFonts w:hint="default" w:ascii="Times New Roman"/>
          <w:sz w:val="21"/>
          <w:szCs w:val="21"/>
        </w:rPr>
      </w:pPr>
      <w:r>
        <w:rPr>
          <w:rFonts w:hint="eastAsia" w:ascii="Times New Roman" w:hAnsi="Times New Roman"/>
          <w:sz w:val="21"/>
          <w:szCs w:val="21"/>
        </w:rPr>
        <w:t>内侧钻臂（</w:t>
      </w:r>
      <w:r>
        <w:rPr>
          <w:rFonts w:hint="default" w:ascii="Times New Roman" w:hAnsi="Times New Roman"/>
          <w:sz w:val="21"/>
          <w:szCs w:val="21"/>
        </w:rPr>
        <w:t>2#</w:t>
      </w:r>
      <w:r>
        <w:rPr>
          <w:rFonts w:hint="eastAsia" w:ascii="Times New Roman" w:hAnsi="Times New Roman"/>
          <w:sz w:val="21"/>
          <w:szCs w:val="21"/>
        </w:rPr>
        <w:t>和</w:t>
      </w:r>
      <w:r>
        <w:rPr>
          <w:rFonts w:hint="default" w:ascii="Times New Roman" w:hAnsi="Times New Roman"/>
          <w:sz w:val="21"/>
          <w:szCs w:val="21"/>
        </w:rPr>
        <w:t>3#</w:t>
      </w:r>
      <w:r>
        <w:rPr>
          <w:rFonts w:hint="eastAsia" w:ascii="Times New Roman" w:hAnsi="Times New Roman"/>
          <w:sz w:val="21"/>
          <w:szCs w:val="21"/>
        </w:rPr>
        <w:t>钻臂）向内摆动角度：</w:t>
      </w:r>
      <w:r>
        <w:rPr>
          <w:rFonts w:hint="eastAsia"/>
          <w:sz w:val="21"/>
          <w:szCs w:val="21"/>
        </w:rPr>
        <w:t>≥</w:t>
      </w:r>
      <w:r>
        <w:rPr>
          <w:rFonts w:hint="default" w:ascii="Times New Roman" w:hAnsi="Times New Roman"/>
          <w:sz w:val="21"/>
          <w:szCs w:val="21"/>
        </w:rPr>
        <w:t>10</w:t>
      </w:r>
      <w:r>
        <w:rPr>
          <w:rFonts w:hint="eastAsia" w:ascii="Times New Roman" w:hAnsi="Times New Roman"/>
          <w:sz w:val="21"/>
          <w:szCs w:val="21"/>
        </w:rPr>
        <w:t>°</w:t>
      </w:r>
    </w:p>
    <w:p w14:paraId="66E5E2B0">
      <w:pPr>
        <w:pStyle w:val="4"/>
        <w:snapToGrid w:val="0"/>
        <w:spacing w:beforeLines="0" w:afterLines="0" w:line="360" w:lineRule="auto"/>
        <w:ind w:left="420" w:firstLine="0" w:firstLineChars="0"/>
        <w:rPr>
          <w:rFonts w:hint="default" w:ascii="Times New Roman"/>
          <w:sz w:val="21"/>
          <w:szCs w:val="21"/>
        </w:rPr>
      </w:pPr>
      <w:r>
        <w:rPr>
          <w:rFonts w:hint="eastAsia" w:ascii="Times New Roman" w:hAnsi="Times New Roman"/>
          <w:sz w:val="21"/>
          <w:szCs w:val="21"/>
        </w:rPr>
        <w:t>内侧钻臂（</w:t>
      </w:r>
      <w:r>
        <w:rPr>
          <w:rFonts w:hint="default" w:ascii="Times New Roman" w:hAnsi="Times New Roman"/>
          <w:sz w:val="21"/>
          <w:szCs w:val="21"/>
        </w:rPr>
        <w:t>2#</w:t>
      </w:r>
      <w:r>
        <w:rPr>
          <w:rFonts w:hint="eastAsia" w:ascii="Times New Roman" w:hAnsi="Times New Roman"/>
          <w:sz w:val="21"/>
          <w:szCs w:val="21"/>
        </w:rPr>
        <w:t>和</w:t>
      </w:r>
      <w:r>
        <w:rPr>
          <w:rFonts w:hint="default" w:ascii="Times New Roman" w:hAnsi="Times New Roman"/>
          <w:sz w:val="21"/>
          <w:szCs w:val="21"/>
        </w:rPr>
        <w:t>3#</w:t>
      </w:r>
      <w:r>
        <w:rPr>
          <w:rFonts w:hint="eastAsia" w:ascii="Times New Roman" w:hAnsi="Times New Roman"/>
          <w:sz w:val="21"/>
          <w:szCs w:val="21"/>
        </w:rPr>
        <w:t>钻臂）向前（掘进方向）摆动角度：</w:t>
      </w:r>
      <w:r>
        <w:rPr>
          <w:rFonts w:hint="eastAsia"/>
          <w:sz w:val="21"/>
          <w:szCs w:val="21"/>
        </w:rPr>
        <w:t>≥</w:t>
      </w:r>
      <w:r>
        <w:rPr>
          <w:rFonts w:hint="default" w:ascii="Times New Roman" w:hAnsi="Times New Roman"/>
          <w:sz w:val="21"/>
          <w:szCs w:val="21"/>
        </w:rPr>
        <w:t>2</w:t>
      </w:r>
      <w:r>
        <w:rPr>
          <w:rFonts w:hint="eastAsia" w:ascii="Times New Roman" w:hAnsi="Times New Roman"/>
          <w:sz w:val="21"/>
          <w:szCs w:val="21"/>
        </w:rPr>
        <w:t>°</w:t>
      </w:r>
    </w:p>
    <w:p w14:paraId="40EA6026">
      <w:pPr>
        <w:pStyle w:val="4"/>
        <w:snapToGrid w:val="0"/>
        <w:spacing w:beforeLines="0" w:afterLines="0" w:line="360" w:lineRule="auto"/>
        <w:ind w:left="420" w:firstLine="0" w:firstLineChars="0"/>
        <w:rPr>
          <w:rFonts w:hint="default" w:ascii="Times New Roman"/>
          <w:sz w:val="21"/>
          <w:szCs w:val="21"/>
        </w:rPr>
      </w:pPr>
      <w:r>
        <w:rPr>
          <w:rFonts w:hint="eastAsia" w:ascii="Times New Roman" w:hAnsi="Times New Roman"/>
          <w:sz w:val="21"/>
          <w:szCs w:val="21"/>
        </w:rPr>
        <w:t>内侧钻臂（</w:t>
      </w:r>
      <w:r>
        <w:rPr>
          <w:rFonts w:hint="default" w:ascii="Times New Roman" w:hAnsi="Times New Roman"/>
          <w:sz w:val="21"/>
          <w:szCs w:val="21"/>
        </w:rPr>
        <w:t>2#</w:t>
      </w:r>
      <w:r>
        <w:rPr>
          <w:rFonts w:hint="eastAsia" w:ascii="Times New Roman" w:hAnsi="Times New Roman"/>
          <w:sz w:val="21"/>
          <w:szCs w:val="21"/>
        </w:rPr>
        <w:t>和</w:t>
      </w:r>
      <w:r>
        <w:rPr>
          <w:rFonts w:hint="default" w:ascii="Times New Roman" w:hAnsi="Times New Roman"/>
          <w:sz w:val="21"/>
          <w:szCs w:val="21"/>
        </w:rPr>
        <w:t>3#</w:t>
      </w:r>
      <w:r>
        <w:rPr>
          <w:rFonts w:hint="eastAsia" w:ascii="Times New Roman" w:hAnsi="Times New Roman"/>
          <w:sz w:val="21"/>
          <w:szCs w:val="21"/>
        </w:rPr>
        <w:t>钻臂）向后摆动角度：</w:t>
      </w:r>
      <w:r>
        <w:rPr>
          <w:rFonts w:hint="eastAsia"/>
          <w:sz w:val="21"/>
          <w:szCs w:val="21"/>
        </w:rPr>
        <w:t>≥</w:t>
      </w:r>
      <w:r>
        <w:rPr>
          <w:rFonts w:hint="default" w:ascii="Times New Roman" w:hAnsi="Times New Roman"/>
          <w:sz w:val="21"/>
          <w:szCs w:val="21"/>
        </w:rPr>
        <w:t>2</w:t>
      </w:r>
      <w:r>
        <w:rPr>
          <w:rFonts w:hint="eastAsia" w:ascii="Times New Roman" w:hAnsi="Times New Roman"/>
          <w:sz w:val="21"/>
          <w:szCs w:val="21"/>
        </w:rPr>
        <w:t>°</w:t>
      </w:r>
    </w:p>
    <w:p w14:paraId="0C6DF15E">
      <w:pPr>
        <w:pStyle w:val="4"/>
        <w:snapToGrid w:val="0"/>
        <w:spacing w:beforeLines="0" w:afterLines="0" w:line="360" w:lineRule="auto"/>
        <w:ind w:left="420" w:firstLine="0" w:firstLineChars="0"/>
        <w:rPr>
          <w:rFonts w:hint="default" w:ascii="Times New Roman"/>
          <w:sz w:val="21"/>
          <w:szCs w:val="21"/>
        </w:rPr>
      </w:pPr>
      <w:r>
        <w:rPr>
          <w:rFonts w:hint="eastAsia" w:ascii="Times New Roman" w:hAnsi="Times New Roman"/>
          <w:sz w:val="21"/>
          <w:szCs w:val="21"/>
        </w:rPr>
        <w:t>内侧钻臂（</w:t>
      </w:r>
      <w:r>
        <w:rPr>
          <w:rFonts w:hint="default" w:ascii="Times New Roman" w:hAnsi="Times New Roman"/>
          <w:sz w:val="21"/>
          <w:szCs w:val="21"/>
        </w:rPr>
        <w:t>2#</w:t>
      </w:r>
      <w:r>
        <w:rPr>
          <w:rFonts w:hint="eastAsia" w:ascii="Times New Roman" w:hAnsi="Times New Roman"/>
          <w:sz w:val="21"/>
          <w:szCs w:val="21"/>
        </w:rPr>
        <w:t>和</w:t>
      </w:r>
      <w:r>
        <w:rPr>
          <w:rFonts w:hint="default" w:ascii="Times New Roman" w:hAnsi="Times New Roman"/>
          <w:sz w:val="21"/>
          <w:szCs w:val="21"/>
        </w:rPr>
        <w:t>3#</w:t>
      </w:r>
      <w:r>
        <w:rPr>
          <w:rFonts w:hint="eastAsia" w:ascii="Times New Roman" w:hAnsi="Times New Roman"/>
          <w:sz w:val="21"/>
          <w:szCs w:val="21"/>
        </w:rPr>
        <w:t>钻臂）之间最小支护间距（垂直状态）不大于</w:t>
      </w:r>
      <w:r>
        <w:rPr>
          <w:rFonts w:hint="default" w:ascii="Times New Roman" w:hAnsi="Times New Roman"/>
          <w:sz w:val="21"/>
          <w:szCs w:val="21"/>
        </w:rPr>
        <w:t>1900</w:t>
      </w:r>
      <w:r>
        <w:rPr>
          <w:rFonts w:hint="eastAsia"/>
          <w:sz w:val="21"/>
          <w:szCs w:val="21"/>
        </w:rPr>
        <w:t>㎜；</w:t>
      </w:r>
    </w:p>
    <w:p w14:paraId="4D3E409C">
      <w:pPr>
        <w:pStyle w:val="4"/>
        <w:numPr>
          <w:ilvl w:val="0"/>
          <w:numId w:val="10"/>
        </w:numPr>
        <w:spacing w:beforeLines="0" w:afterLines="0"/>
        <w:ind w:firstLineChars="0"/>
        <w:rPr>
          <w:rFonts w:hint="default"/>
          <w:sz w:val="21"/>
          <w:szCs w:val="21"/>
        </w:rPr>
      </w:pPr>
      <w:r>
        <w:rPr>
          <w:rFonts w:hint="eastAsia"/>
          <w:sz w:val="21"/>
          <w:szCs w:val="21"/>
        </w:rPr>
        <w:t>总重量应不大于</w:t>
      </w:r>
      <w:r>
        <w:rPr>
          <w:rFonts w:hint="default"/>
          <w:sz w:val="21"/>
          <w:szCs w:val="21"/>
        </w:rPr>
        <w:t>7t</w:t>
      </w:r>
      <w:r>
        <w:rPr>
          <w:rFonts w:hint="eastAsia"/>
          <w:sz w:val="21"/>
          <w:szCs w:val="21"/>
        </w:rPr>
        <w:t>；</w:t>
      </w:r>
    </w:p>
    <w:p w14:paraId="528F9013">
      <w:pPr>
        <w:pStyle w:val="4"/>
        <w:numPr>
          <w:ilvl w:val="0"/>
          <w:numId w:val="10"/>
        </w:numPr>
        <w:spacing w:beforeLines="0" w:afterLines="0"/>
        <w:ind w:firstLineChars="0"/>
        <w:rPr>
          <w:rFonts w:hint="default"/>
          <w:sz w:val="21"/>
          <w:szCs w:val="21"/>
        </w:rPr>
      </w:pPr>
      <w:r>
        <w:rPr>
          <w:rFonts w:hint="eastAsia"/>
          <w:sz w:val="21"/>
          <w:szCs w:val="21"/>
        </w:rPr>
        <w:t>顶锚装置相比现有机型空间增大</w:t>
      </w:r>
      <w:r>
        <w:rPr>
          <w:rFonts w:hint="default"/>
          <w:sz w:val="21"/>
          <w:szCs w:val="21"/>
        </w:rPr>
        <w:t>150mm</w:t>
      </w:r>
      <w:r>
        <w:rPr>
          <w:rFonts w:hint="eastAsia"/>
          <w:sz w:val="21"/>
          <w:szCs w:val="21"/>
        </w:rPr>
        <w:t>以上，方便机构下沉。</w:t>
      </w:r>
    </w:p>
    <w:p w14:paraId="459BE84E">
      <w:pPr>
        <w:pStyle w:val="4"/>
        <w:numPr>
          <w:ilvl w:val="0"/>
          <w:numId w:val="10"/>
        </w:numPr>
        <w:spacing w:beforeLines="0" w:afterLines="0"/>
        <w:ind w:firstLineChars="0"/>
        <w:rPr>
          <w:rFonts w:hint="default"/>
          <w:sz w:val="21"/>
          <w:szCs w:val="21"/>
        </w:rPr>
      </w:pPr>
      <w:r>
        <w:rPr>
          <w:rFonts w:hint="eastAsia"/>
          <w:sz w:val="21"/>
          <w:szCs w:val="21"/>
        </w:rPr>
        <w:t>要求使用</w:t>
      </w:r>
      <w:r>
        <w:rPr>
          <w:rFonts w:hint="default"/>
          <w:sz w:val="21"/>
          <w:szCs w:val="21"/>
        </w:rPr>
        <w:t>3.1m</w:t>
      </w:r>
      <w:r>
        <w:rPr>
          <w:rFonts w:hint="eastAsia"/>
          <w:sz w:val="21"/>
          <w:szCs w:val="21"/>
        </w:rPr>
        <w:t>顶钻架时，钻架顶部距离地面最大距离为</w:t>
      </w:r>
      <w:r>
        <w:rPr>
          <w:rFonts w:hint="default"/>
          <w:sz w:val="21"/>
          <w:szCs w:val="21"/>
        </w:rPr>
        <w:t>2.6m</w:t>
      </w:r>
      <w:r>
        <w:rPr>
          <w:rFonts w:hint="eastAsia"/>
          <w:sz w:val="21"/>
          <w:szCs w:val="21"/>
        </w:rPr>
        <w:t>；</w:t>
      </w:r>
    </w:p>
    <w:p w14:paraId="46095840">
      <w:pPr>
        <w:pStyle w:val="4"/>
        <w:numPr>
          <w:ilvl w:val="0"/>
          <w:numId w:val="2"/>
        </w:numPr>
        <w:spacing w:beforeLines="0" w:afterLines="0"/>
        <w:ind w:firstLineChars="0"/>
        <w:rPr>
          <w:rFonts w:hint="default"/>
          <w:b/>
          <w:sz w:val="21"/>
          <w:szCs w:val="22"/>
        </w:rPr>
      </w:pPr>
      <w:r>
        <w:rPr>
          <w:rFonts w:hint="eastAsia"/>
          <w:b/>
          <w:sz w:val="21"/>
          <w:szCs w:val="22"/>
        </w:rPr>
        <w:t>液压系统</w:t>
      </w:r>
    </w:p>
    <w:p w14:paraId="621F2D8E">
      <w:pPr>
        <w:pStyle w:val="4"/>
        <w:numPr>
          <w:ilvl w:val="0"/>
          <w:numId w:val="11"/>
        </w:numPr>
        <w:spacing w:beforeLines="0" w:afterLines="0"/>
        <w:ind w:firstLineChars="0"/>
        <w:rPr>
          <w:rFonts w:hint="default"/>
          <w:b/>
          <w:sz w:val="21"/>
          <w:szCs w:val="22"/>
        </w:rPr>
      </w:pPr>
      <w:r>
        <w:rPr>
          <w:rFonts w:hint="eastAsia"/>
          <w:sz w:val="21"/>
          <w:szCs w:val="22"/>
        </w:rPr>
        <w:t>确定液压系统原理图，做探水一体化方案，机载除尘风机为液驱，提前准备阀组与供液；</w:t>
      </w:r>
    </w:p>
    <w:p w14:paraId="0C2E809A">
      <w:pPr>
        <w:pStyle w:val="4"/>
        <w:numPr>
          <w:ilvl w:val="0"/>
          <w:numId w:val="11"/>
        </w:numPr>
        <w:spacing w:beforeLines="0" w:afterLines="0"/>
        <w:ind w:firstLineChars="0"/>
        <w:rPr>
          <w:rFonts w:hint="default"/>
          <w:b/>
          <w:sz w:val="21"/>
          <w:szCs w:val="22"/>
        </w:rPr>
      </w:pPr>
      <w:r>
        <w:rPr>
          <w:rFonts w:hint="eastAsia"/>
          <w:sz w:val="21"/>
          <w:szCs w:val="22"/>
        </w:rPr>
        <w:t>液压系统油箱容量为</w:t>
      </w:r>
      <w:r>
        <w:rPr>
          <w:rFonts w:hint="default"/>
          <w:sz w:val="21"/>
          <w:szCs w:val="22"/>
        </w:rPr>
        <w:t>600L</w:t>
      </w:r>
      <w:r>
        <w:rPr>
          <w:rFonts w:hint="eastAsia"/>
          <w:sz w:val="21"/>
          <w:szCs w:val="22"/>
        </w:rPr>
        <w:t>，泵站整体外形尺寸见三维模型（已发韩宇）；</w:t>
      </w:r>
    </w:p>
    <w:p w14:paraId="5C02DA7F">
      <w:pPr>
        <w:pStyle w:val="4"/>
        <w:numPr>
          <w:ilvl w:val="0"/>
          <w:numId w:val="11"/>
        </w:numPr>
        <w:spacing w:beforeLines="0" w:afterLines="0"/>
        <w:ind w:firstLineChars="0"/>
        <w:rPr>
          <w:rFonts w:hint="default"/>
          <w:b/>
          <w:sz w:val="21"/>
          <w:szCs w:val="22"/>
        </w:rPr>
      </w:pPr>
      <w:r>
        <w:rPr>
          <w:rFonts w:hint="eastAsia"/>
          <w:sz w:val="21"/>
          <w:szCs w:val="22"/>
        </w:rPr>
        <w:t>泵站阀组尽量集中在设备左侧；</w:t>
      </w:r>
    </w:p>
    <w:p w14:paraId="4F45CE76">
      <w:pPr>
        <w:pStyle w:val="4"/>
        <w:numPr>
          <w:ilvl w:val="0"/>
          <w:numId w:val="11"/>
        </w:numPr>
        <w:spacing w:beforeLines="0" w:afterLines="0"/>
        <w:ind w:firstLineChars="0"/>
        <w:rPr>
          <w:rFonts w:hint="default"/>
          <w:b/>
          <w:sz w:val="21"/>
          <w:szCs w:val="22"/>
        </w:rPr>
      </w:pPr>
      <w:r>
        <w:rPr>
          <w:rFonts w:hint="eastAsia"/>
          <w:sz w:val="21"/>
          <w:szCs w:val="22"/>
        </w:rPr>
        <w:t>液压系统所有元器件应选用国际知名品牌产品；</w:t>
      </w:r>
    </w:p>
    <w:p w14:paraId="7612CB1B">
      <w:pPr>
        <w:pStyle w:val="4"/>
        <w:numPr>
          <w:ilvl w:val="0"/>
          <w:numId w:val="11"/>
        </w:numPr>
        <w:spacing w:beforeLines="0" w:afterLines="0"/>
        <w:ind w:firstLineChars="0"/>
        <w:rPr>
          <w:rFonts w:hint="default"/>
          <w:b/>
          <w:sz w:val="21"/>
          <w:szCs w:val="22"/>
        </w:rPr>
      </w:pPr>
      <w:r>
        <w:rPr>
          <w:rFonts w:hint="eastAsia"/>
          <w:sz w:val="21"/>
          <w:szCs w:val="22"/>
        </w:rPr>
        <w:t>应使用我公司可靠成熟的接头类型，根据一代机经验，对于有必要的液压元器件进行打压试验，防止整机的漏油渗油；</w:t>
      </w:r>
    </w:p>
    <w:p w14:paraId="40E6C9B5">
      <w:pPr>
        <w:pStyle w:val="4"/>
        <w:numPr>
          <w:ilvl w:val="0"/>
          <w:numId w:val="11"/>
        </w:numPr>
        <w:spacing w:beforeLines="0" w:afterLines="0"/>
        <w:ind w:firstLineChars="0"/>
        <w:rPr>
          <w:rFonts w:hint="default"/>
          <w:b/>
          <w:sz w:val="21"/>
          <w:szCs w:val="22"/>
        </w:rPr>
      </w:pPr>
      <w:r>
        <w:rPr>
          <w:rFonts w:hint="eastAsia"/>
          <w:sz w:val="21"/>
          <w:szCs w:val="22"/>
        </w:rPr>
        <w:t>三个泵出口压力安装压力传感器，在显示界面可以直接读取液压系统压力；</w:t>
      </w:r>
    </w:p>
    <w:p w14:paraId="46FDCFF1">
      <w:pPr>
        <w:pStyle w:val="4"/>
        <w:numPr>
          <w:ilvl w:val="0"/>
          <w:numId w:val="11"/>
        </w:numPr>
        <w:spacing w:beforeLines="0" w:afterLines="0"/>
        <w:ind w:firstLineChars="0"/>
        <w:rPr>
          <w:rFonts w:hint="default"/>
          <w:b/>
          <w:sz w:val="21"/>
          <w:szCs w:val="22"/>
        </w:rPr>
      </w:pPr>
      <w:r>
        <w:rPr>
          <w:rFonts w:hint="eastAsia"/>
          <w:sz w:val="21"/>
          <w:szCs w:val="22"/>
        </w:rPr>
        <w:t>截割冷却回油路增加油质温度传感器，数据可以时事显示；</w:t>
      </w:r>
    </w:p>
    <w:p w14:paraId="13A2A147">
      <w:pPr>
        <w:pStyle w:val="4"/>
        <w:numPr>
          <w:ilvl w:val="0"/>
          <w:numId w:val="11"/>
        </w:numPr>
        <w:spacing w:beforeLines="0" w:afterLines="0"/>
        <w:ind w:firstLineChars="0"/>
        <w:rPr>
          <w:rFonts w:hint="default"/>
          <w:b/>
          <w:sz w:val="21"/>
          <w:szCs w:val="22"/>
        </w:rPr>
      </w:pPr>
      <w:r>
        <w:rPr>
          <w:rFonts w:hint="eastAsia"/>
          <w:sz w:val="21"/>
          <w:szCs w:val="22"/>
        </w:rPr>
        <w:t>项目完成时要完成三维配管图；</w:t>
      </w:r>
    </w:p>
    <w:p w14:paraId="00F53104">
      <w:pPr>
        <w:pStyle w:val="4"/>
        <w:numPr>
          <w:ilvl w:val="0"/>
          <w:numId w:val="11"/>
        </w:numPr>
        <w:spacing w:beforeLines="0" w:afterLines="0"/>
        <w:ind w:firstLineChars="0"/>
        <w:rPr>
          <w:rFonts w:hint="default"/>
          <w:b/>
          <w:sz w:val="21"/>
          <w:szCs w:val="22"/>
        </w:rPr>
      </w:pPr>
      <w:r>
        <w:rPr>
          <w:rFonts w:hint="eastAsia"/>
          <w:sz w:val="21"/>
          <w:szCs w:val="22"/>
        </w:rPr>
        <w:t>液压系统应有以下传感器：油箱油温液位传感器、大臂下降压力、掏槽推进压力、锚杆机工进压力（</w:t>
      </w:r>
      <w:r>
        <w:rPr>
          <w:rFonts w:hint="default"/>
          <w:sz w:val="21"/>
          <w:szCs w:val="22"/>
        </w:rPr>
        <w:t>6</w:t>
      </w:r>
      <w:r>
        <w:rPr>
          <w:rFonts w:hint="eastAsia"/>
          <w:sz w:val="21"/>
          <w:szCs w:val="22"/>
        </w:rPr>
        <w:t>个）、截割齿轮润滑泵油温、截割齿轮润滑泵油压、截割齿轮润滑泵油质、液压油质、大臂举升位移传感器、刮板机摆动位移传感器、掏槽位移传感器；</w:t>
      </w:r>
    </w:p>
    <w:p w14:paraId="19BA7AEF">
      <w:pPr>
        <w:pStyle w:val="4"/>
        <w:numPr>
          <w:ilvl w:val="0"/>
          <w:numId w:val="11"/>
        </w:numPr>
        <w:spacing w:beforeLines="0" w:afterLines="0"/>
        <w:ind w:firstLineChars="0"/>
        <w:rPr>
          <w:rFonts w:hint="default"/>
          <w:sz w:val="21"/>
          <w:szCs w:val="22"/>
        </w:rPr>
      </w:pPr>
      <w:r>
        <w:rPr>
          <w:rFonts w:hint="eastAsia"/>
          <w:sz w:val="21"/>
          <w:szCs w:val="22"/>
        </w:rPr>
        <w:t>掏槽油缸与截割油缸控制阀有效开口范围应尽量较大</w:t>
      </w:r>
      <w:r>
        <w:rPr>
          <w:rFonts w:hint="default"/>
          <w:sz w:val="21"/>
          <w:szCs w:val="22"/>
        </w:rPr>
        <w:t>(</w:t>
      </w:r>
      <w:r>
        <w:rPr>
          <w:rFonts w:hint="eastAsia"/>
          <w:sz w:val="21"/>
          <w:szCs w:val="22"/>
        </w:rPr>
        <w:t>截割全行程升降时间控制在</w:t>
      </w:r>
      <w:r>
        <w:rPr>
          <w:rFonts w:hint="default"/>
          <w:sz w:val="21"/>
          <w:szCs w:val="22"/>
        </w:rPr>
        <w:t>35s</w:t>
      </w:r>
      <w:r>
        <w:rPr>
          <w:rFonts w:hint="eastAsia"/>
          <w:sz w:val="21"/>
          <w:szCs w:val="22"/>
        </w:rPr>
        <w:t>至</w:t>
      </w:r>
      <w:r>
        <w:rPr>
          <w:rFonts w:hint="default"/>
          <w:sz w:val="21"/>
          <w:szCs w:val="22"/>
        </w:rPr>
        <w:t>150s</w:t>
      </w:r>
      <w:r>
        <w:rPr>
          <w:rFonts w:hint="eastAsia"/>
          <w:sz w:val="21"/>
          <w:szCs w:val="22"/>
        </w:rPr>
        <w:t>之间</w:t>
      </w:r>
      <w:r>
        <w:rPr>
          <w:rFonts w:hint="default"/>
          <w:sz w:val="21"/>
          <w:szCs w:val="22"/>
        </w:rPr>
        <w:t>)</w:t>
      </w:r>
      <w:r>
        <w:rPr>
          <w:rFonts w:hint="eastAsia"/>
          <w:sz w:val="21"/>
          <w:szCs w:val="22"/>
        </w:rPr>
        <w:t>；</w:t>
      </w:r>
    </w:p>
    <w:p w14:paraId="605760FD">
      <w:pPr>
        <w:pStyle w:val="4"/>
        <w:numPr>
          <w:ilvl w:val="0"/>
          <w:numId w:val="2"/>
        </w:numPr>
        <w:spacing w:beforeLines="0" w:afterLines="0"/>
        <w:ind w:firstLineChars="0"/>
        <w:rPr>
          <w:rFonts w:hint="default"/>
          <w:b/>
          <w:sz w:val="21"/>
          <w:szCs w:val="22"/>
        </w:rPr>
      </w:pPr>
      <w:r>
        <w:rPr>
          <w:rFonts w:hint="eastAsia"/>
          <w:b/>
          <w:sz w:val="21"/>
          <w:szCs w:val="22"/>
        </w:rPr>
        <w:t>水系统</w:t>
      </w:r>
    </w:p>
    <w:p w14:paraId="78514688">
      <w:pPr>
        <w:pStyle w:val="4"/>
        <w:numPr>
          <w:ilvl w:val="0"/>
          <w:numId w:val="12"/>
        </w:numPr>
        <w:spacing w:beforeLines="0" w:afterLines="0"/>
        <w:ind w:firstLineChars="0"/>
        <w:rPr>
          <w:rFonts w:hint="default"/>
          <w:sz w:val="21"/>
          <w:szCs w:val="22"/>
        </w:rPr>
      </w:pPr>
      <w:r>
        <w:rPr>
          <w:rFonts w:hint="eastAsia"/>
          <w:sz w:val="21"/>
          <w:szCs w:val="22"/>
        </w:rPr>
        <w:t>确定原理图，排布元件；</w:t>
      </w:r>
    </w:p>
    <w:p w14:paraId="0CF07FA9">
      <w:pPr>
        <w:pStyle w:val="4"/>
        <w:numPr>
          <w:ilvl w:val="0"/>
          <w:numId w:val="12"/>
        </w:numPr>
        <w:spacing w:beforeLines="0" w:afterLines="0"/>
        <w:ind w:firstLineChars="0"/>
        <w:rPr>
          <w:rFonts w:hint="default"/>
          <w:sz w:val="21"/>
          <w:szCs w:val="22"/>
        </w:rPr>
      </w:pPr>
      <w:r>
        <w:rPr>
          <w:rFonts w:hint="eastAsia"/>
          <w:sz w:val="21"/>
          <w:szCs w:val="22"/>
        </w:rPr>
        <w:t>实现所有水路的开关控制；其中铲板喷雾、截割喷雾、运输转载喷雾、风机喷雾实现自动控制；在相应部件电机启动前，喷雾提前启动，关闭后喷雾延时关闭；铲板、截割、运输相应电机无水流量通过时无法启动该电机（可屏蔽）；</w:t>
      </w:r>
    </w:p>
    <w:p w14:paraId="3A5BF316">
      <w:pPr>
        <w:pStyle w:val="4"/>
        <w:numPr>
          <w:ilvl w:val="0"/>
          <w:numId w:val="12"/>
        </w:numPr>
        <w:spacing w:beforeLines="0" w:afterLines="0"/>
        <w:ind w:firstLineChars="0"/>
        <w:rPr>
          <w:rFonts w:hint="default"/>
          <w:sz w:val="21"/>
          <w:szCs w:val="22"/>
        </w:rPr>
      </w:pPr>
      <w:r>
        <w:rPr>
          <w:rFonts w:hint="eastAsia"/>
          <w:sz w:val="21"/>
          <w:szCs w:val="22"/>
        </w:rPr>
        <w:t>截割喷雾安装增压水泵，喷雾压力不小于</w:t>
      </w:r>
      <w:r>
        <w:rPr>
          <w:rFonts w:hint="default"/>
          <w:sz w:val="21"/>
          <w:szCs w:val="22"/>
        </w:rPr>
        <w:t>4Mpa</w:t>
      </w:r>
      <w:r>
        <w:rPr>
          <w:rFonts w:hint="eastAsia"/>
          <w:sz w:val="21"/>
          <w:szCs w:val="22"/>
        </w:rPr>
        <w:t>；</w:t>
      </w:r>
    </w:p>
    <w:p w14:paraId="7F2B74D4">
      <w:pPr>
        <w:pStyle w:val="4"/>
        <w:numPr>
          <w:ilvl w:val="0"/>
          <w:numId w:val="12"/>
        </w:numPr>
        <w:spacing w:beforeLines="0" w:afterLines="0"/>
        <w:ind w:firstLineChars="0"/>
        <w:rPr>
          <w:rFonts w:hint="default"/>
          <w:sz w:val="21"/>
          <w:szCs w:val="22"/>
        </w:rPr>
      </w:pPr>
      <w:r>
        <w:rPr>
          <w:rFonts w:hint="eastAsia"/>
          <w:sz w:val="21"/>
          <w:szCs w:val="22"/>
        </w:rPr>
        <w:t>进水阀组应安装切换阀组，在实施探水工作时，对进水阀组进行切换，连接水管后方可施工；</w:t>
      </w:r>
    </w:p>
    <w:p w14:paraId="6BDF9C72">
      <w:pPr>
        <w:pStyle w:val="4"/>
        <w:numPr>
          <w:ilvl w:val="0"/>
          <w:numId w:val="12"/>
        </w:numPr>
        <w:spacing w:beforeLines="0" w:afterLines="0"/>
        <w:ind w:firstLineChars="0"/>
        <w:rPr>
          <w:rFonts w:hint="default"/>
          <w:sz w:val="21"/>
          <w:szCs w:val="22"/>
        </w:rPr>
      </w:pPr>
      <w:r>
        <w:rPr>
          <w:rFonts w:hint="eastAsia"/>
          <w:sz w:val="21"/>
          <w:szCs w:val="22"/>
        </w:rPr>
        <w:t>系统应有喷雾压力、截割水流量传感器</w:t>
      </w:r>
    </w:p>
    <w:p w14:paraId="305ABDC7">
      <w:pPr>
        <w:pStyle w:val="4"/>
        <w:numPr>
          <w:ilvl w:val="0"/>
          <w:numId w:val="2"/>
        </w:numPr>
        <w:spacing w:beforeLines="0" w:afterLines="0"/>
        <w:ind w:firstLineChars="0"/>
        <w:rPr>
          <w:rFonts w:hint="default"/>
          <w:b/>
          <w:sz w:val="21"/>
          <w:szCs w:val="22"/>
        </w:rPr>
      </w:pPr>
      <w:r>
        <w:rPr>
          <w:rFonts w:hint="eastAsia"/>
          <w:b/>
          <w:sz w:val="21"/>
          <w:szCs w:val="22"/>
        </w:rPr>
        <w:t>润滑系统</w:t>
      </w:r>
    </w:p>
    <w:p w14:paraId="3074DB27">
      <w:pPr>
        <w:spacing w:beforeLines="0" w:afterLines="0"/>
        <w:rPr>
          <w:rFonts w:hint="default"/>
          <w:b/>
          <w:sz w:val="21"/>
          <w:szCs w:val="22"/>
        </w:rPr>
      </w:pPr>
      <w:r>
        <w:rPr>
          <w:rFonts w:hint="eastAsia"/>
          <w:b/>
          <w:sz w:val="21"/>
          <w:szCs w:val="22"/>
        </w:rPr>
        <w:t>强制润滑点：</w:t>
      </w:r>
    </w:p>
    <w:p w14:paraId="107AA84A">
      <w:pPr>
        <w:pStyle w:val="4"/>
        <w:numPr>
          <w:ilvl w:val="0"/>
          <w:numId w:val="13"/>
        </w:numPr>
        <w:spacing w:beforeLines="0" w:afterLines="0"/>
        <w:ind w:firstLineChars="0"/>
        <w:rPr>
          <w:rFonts w:hint="default"/>
          <w:sz w:val="21"/>
          <w:szCs w:val="22"/>
        </w:rPr>
      </w:pPr>
      <w:r>
        <w:rPr>
          <w:rFonts w:hint="eastAsia"/>
          <w:sz w:val="21"/>
          <w:szCs w:val="22"/>
        </w:rPr>
        <w:t>截割大臂与滑移架交接销轴润滑；</w:t>
      </w:r>
    </w:p>
    <w:p w14:paraId="0DCDE0CB">
      <w:pPr>
        <w:pStyle w:val="4"/>
        <w:numPr>
          <w:ilvl w:val="0"/>
          <w:numId w:val="13"/>
        </w:numPr>
        <w:spacing w:beforeLines="0" w:afterLines="0"/>
        <w:ind w:firstLineChars="0"/>
        <w:rPr>
          <w:rFonts w:hint="default"/>
          <w:sz w:val="21"/>
          <w:szCs w:val="22"/>
        </w:rPr>
      </w:pPr>
      <w:r>
        <w:rPr>
          <w:rFonts w:hint="eastAsia"/>
          <w:sz w:val="21"/>
          <w:szCs w:val="22"/>
        </w:rPr>
        <w:t>滑移架与截割举升油缸铰接销轴润滑；</w:t>
      </w:r>
    </w:p>
    <w:p w14:paraId="3D36C087">
      <w:pPr>
        <w:pStyle w:val="4"/>
        <w:numPr>
          <w:ilvl w:val="0"/>
          <w:numId w:val="13"/>
        </w:numPr>
        <w:spacing w:beforeLines="0" w:afterLines="0"/>
        <w:ind w:firstLineChars="0"/>
        <w:rPr>
          <w:rFonts w:hint="default"/>
          <w:sz w:val="21"/>
          <w:szCs w:val="22"/>
        </w:rPr>
      </w:pPr>
      <w:r>
        <w:rPr>
          <w:rFonts w:hint="eastAsia"/>
          <w:sz w:val="21"/>
          <w:szCs w:val="22"/>
        </w:rPr>
        <w:t>滑移架与滑移导轨处强制润滑；</w:t>
      </w:r>
    </w:p>
    <w:p w14:paraId="7EAFAE4B">
      <w:pPr>
        <w:pStyle w:val="4"/>
        <w:numPr>
          <w:ilvl w:val="0"/>
          <w:numId w:val="13"/>
        </w:numPr>
        <w:spacing w:beforeLines="0" w:afterLines="0"/>
        <w:ind w:firstLineChars="0"/>
        <w:rPr>
          <w:rFonts w:hint="default"/>
          <w:sz w:val="21"/>
          <w:szCs w:val="22"/>
        </w:rPr>
      </w:pPr>
      <w:r>
        <w:rPr>
          <w:rFonts w:hint="eastAsia"/>
          <w:sz w:val="21"/>
          <w:szCs w:val="22"/>
        </w:rPr>
        <w:t>滑移机架与运输机滑块部接触部分强制润滑；</w:t>
      </w:r>
    </w:p>
    <w:p w14:paraId="4DD0EECA">
      <w:pPr>
        <w:pStyle w:val="4"/>
        <w:numPr>
          <w:ilvl w:val="0"/>
          <w:numId w:val="13"/>
        </w:numPr>
        <w:spacing w:beforeLines="0" w:afterLines="0"/>
        <w:ind w:firstLineChars="0"/>
        <w:rPr>
          <w:rFonts w:hint="default"/>
          <w:sz w:val="21"/>
          <w:szCs w:val="22"/>
        </w:rPr>
      </w:pPr>
      <w:r>
        <w:rPr>
          <w:rFonts w:hint="eastAsia"/>
          <w:sz w:val="21"/>
          <w:szCs w:val="22"/>
        </w:rPr>
        <w:t>各润滑点增加润滑脂（流量）压力传感器，防止爆管造成的润滑故障，润滑泵工作时检测传感器读数，不能建立压力机及进行报警；（业界先进）</w:t>
      </w:r>
    </w:p>
    <w:p w14:paraId="74241456">
      <w:pPr>
        <w:pStyle w:val="4"/>
        <w:numPr>
          <w:ilvl w:val="0"/>
          <w:numId w:val="13"/>
        </w:numPr>
        <w:spacing w:beforeLines="0" w:afterLines="0"/>
        <w:ind w:firstLineChars="0"/>
        <w:rPr>
          <w:rFonts w:hint="default"/>
          <w:sz w:val="21"/>
          <w:szCs w:val="22"/>
        </w:rPr>
      </w:pPr>
      <w:r>
        <w:rPr>
          <w:rFonts w:hint="eastAsia"/>
          <w:sz w:val="21"/>
          <w:szCs w:val="22"/>
        </w:rPr>
        <w:t>油脂润滑频率为电机累计工作</w:t>
      </w:r>
      <w:r>
        <w:rPr>
          <w:rFonts w:hint="default"/>
          <w:sz w:val="21"/>
          <w:szCs w:val="22"/>
        </w:rPr>
        <w:t>5min</w:t>
      </w:r>
      <w:r>
        <w:rPr>
          <w:rFonts w:hint="eastAsia"/>
          <w:sz w:val="21"/>
          <w:szCs w:val="22"/>
        </w:rPr>
        <w:t>，润滑泵工作</w:t>
      </w:r>
      <w:r>
        <w:rPr>
          <w:rFonts w:hint="default"/>
          <w:sz w:val="21"/>
          <w:szCs w:val="22"/>
        </w:rPr>
        <w:t>20</w:t>
      </w:r>
      <w:r>
        <w:rPr>
          <w:rFonts w:hint="eastAsia"/>
          <w:sz w:val="21"/>
          <w:szCs w:val="22"/>
        </w:rPr>
        <w:t>秒（根据具体润滑泵流量确定）；实际生产应</w:t>
      </w:r>
      <w:r>
        <w:rPr>
          <w:rFonts w:hint="default"/>
          <w:sz w:val="21"/>
          <w:szCs w:val="22"/>
        </w:rPr>
        <w:t>14</w:t>
      </w:r>
      <w:r>
        <w:rPr>
          <w:rFonts w:hint="eastAsia"/>
          <w:sz w:val="21"/>
          <w:szCs w:val="22"/>
        </w:rPr>
        <w:t>天增加一次润滑脂；</w:t>
      </w:r>
    </w:p>
    <w:p w14:paraId="543BDB21">
      <w:pPr>
        <w:spacing w:beforeLines="0" w:afterLines="0"/>
        <w:rPr>
          <w:rFonts w:hint="default"/>
          <w:b/>
          <w:sz w:val="21"/>
          <w:szCs w:val="22"/>
        </w:rPr>
      </w:pPr>
      <w:r>
        <w:rPr>
          <w:rFonts w:hint="eastAsia"/>
          <w:b/>
          <w:sz w:val="21"/>
          <w:szCs w:val="22"/>
        </w:rPr>
        <w:t>电气系统及功能要求：</w:t>
      </w:r>
    </w:p>
    <w:p w14:paraId="45E5A30E">
      <w:pPr>
        <w:spacing w:beforeLines="0" w:afterLines="0"/>
        <w:rPr>
          <w:rFonts w:hint="default"/>
          <w:b/>
          <w:sz w:val="21"/>
          <w:szCs w:val="22"/>
        </w:rPr>
      </w:pPr>
      <w:r>
        <w:rPr>
          <w:rFonts w:hint="eastAsia"/>
          <w:b/>
          <w:sz w:val="21"/>
          <w:szCs w:val="22"/>
        </w:rPr>
        <w:t>设备分为三种状态锚钻状态、行走状态、</w:t>
      </w:r>
      <w:r>
        <w:rPr>
          <w:rFonts w:hint="eastAsia"/>
          <w:sz w:val="21"/>
          <w:szCs w:val="22"/>
        </w:rPr>
        <w:t>探水</w:t>
      </w:r>
      <w:r>
        <w:rPr>
          <w:rFonts w:hint="eastAsia"/>
          <w:b/>
          <w:sz w:val="21"/>
          <w:szCs w:val="22"/>
        </w:rPr>
        <w:t>状态；</w:t>
      </w:r>
    </w:p>
    <w:p w14:paraId="3A99BCBB">
      <w:pPr>
        <w:pStyle w:val="4"/>
        <w:numPr>
          <w:ilvl w:val="0"/>
          <w:numId w:val="14"/>
        </w:numPr>
        <w:spacing w:beforeLines="0" w:afterLines="0"/>
        <w:ind w:firstLineChars="0"/>
        <w:rPr>
          <w:rFonts w:hint="default"/>
          <w:sz w:val="21"/>
          <w:szCs w:val="22"/>
        </w:rPr>
      </w:pPr>
      <w:r>
        <w:rPr>
          <w:rFonts w:hint="eastAsia"/>
          <w:sz w:val="21"/>
          <w:szCs w:val="22"/>
        </w:rPr>
        <w:t>锚钻状态：行走功能电气液压闭锁，探水钻机电气液压闭锁；截割下降与铲板下降相互闭锁（在检修状态下该闭锁可以屏蔽）；运输支撑油缸及摆动自由度闭锁；其余动作可以动作，截割升降、截割掏槽动作为比例控制；所有钻机配备电液控系统；除钻架外，整机所有主要动作均有声光报警提示；</w:t>
      </w:r>
    </w:p>
    <w:p w14:paraId="100B764D">
      <w:pPr>
        <w:pStyle w:val="4"/>
        <w:numPr>
          <w:ilvl w:val="0"/>
          <w:numId w:val="14"/>
        </w:numPr>
        <w:spacing w:beforeLines="0" w:afterLines="0"/>
        <w:ind w:firstLineChars="0"/>
        <w:rPr>
          <w:rFonts w:hint="default"/>
          <w:sz w:val="21"/>
          <w:szCs w:val="22"/>
        </w:rPr>
      </w:pPr>
      <w:r>
        <w:rPr>
          <w:rFonts w:hint="eastAsia"/>
          <w:sz w:val="21"/>
          <w:szCs w:val="22"/>
        </w:rPr>
        <w:t>行走状态：截割、喷雾、运输、装载可启停、截割可升降、掏槽、铲板可升降（与截割升降闭锁）其余动作闭锁；与锚钻状态液压闭锁；</w:t>
      </w:r>
    </w:p>
    <w:p w14:paraId="3D00B483">
      <w:pPr>
        <w:pStyle w:val="4"/>
        <w:numPr>
          <w:ilvl w:val="0"/>
          <w:numId w:val="14"/>
        </w:numPr>
        <w:spacing w:beforeLines="0" w:afterLines="0"/>
        <w:ind w:firstLineChars="0"/>
        <w:rPr>
          <w:rFonts w:hint="default"/>
          <w:sz w:val="21"/>
          <w:szCs w:val="22"/>
        </w:rPr>
      </w:pPr>
      <w:r>
        <w:rPr>
          <w:rFonts w:hint="eastAsia"/>
          <w:sz w:val="21"/>
          <w:szCs w:val="22"/>
        </w:rPr>
        <w:t>探水状态：探水钻机工作，其余动作闭锁；</w:t>
      </w:r>
    </w:p>
    <w:p w14:paraId="56CDCDE1">
      <w:pPr>
        <w:pStyle w:val="4"/>
        <w:numPr>
          <w:ilvl w:val="0"/>
          <w:numId w:val="14"/>
        </w:numPr>
        <w:spacing w:beforeLines="0" w:afterLines="0"/>
        <w:ind w:firstLineChars="0"/>
        <w:rPr>
          <w:rFonts w:hint="default"/>
          <w:sz w:val="21"/>
          <w:szCs w:val="22"/>
        </w:rPr>
      </w:pPr>
      <w:r>
        <w:rPr>
          <w:rFonts w:hint="eastAsia"/>
          <w:sz w:val="21"/>
          <w:szCs w:val="22"/>
        </w:rPr>
        <w:t>电气系统标配智能化功能有：遥控器操作、</w:t>
      </w:r>
      <w:r>
        <w:rPr>
          <w:rFonts w:hint="default"/>
          <w:sz w:val="21"/>
          <w:szCs w:val="22"/>
        </w:rPr>
        <w:t>uwb</w:t>
      </w:r>
      <w:r>
        <w:rPr>
          <w:rFonts w:hint="eastAsia"/>
          <w:sz w:val="21"/>
          <w:szCs w:val="22"/>
        </w:rPr>
        <w:t>人员定位、自动截割（进刀掏槽自动调整）、各类电气保护、各类参数显示、记录、上传；</w:t>
      </w:r>
    </w:p>
    <w:p w14:paraId="32888534">
      <w:pPr>
        <w:pStyle w:val="4"/>
        <w:numPr>
          <w:ilvl w:val="0"/>
          <w:numId w:val="14"/>
        </w:numPr>
        <w:spacing w:beforeLines="0" w:afterLines="0"/>
        <w:ind w:firstLineChars="0"/>
        <w:rPr>
          <w:rFonts w:hint="default"/>
          <w:sz w:val="21"/>
          <w:szCs w:val="22"/>
        </w:rPr>
      </w:pPr>
      <w:r>
        <w:rPr>
          <w:rFonts w:hint="eastAsia"/>
          <w:sz w:val="21"/>
          <w:szCs w:val="22"/>
        </w:rPr>
        <w:t>电气系统有完备的电气保护及故障记录功能，有智能化拓展功能；</w:t>
      </w:r>
    </w:p>
    <w:p w14:paraId="2A7401F5">
      <w:pPr>
        <w:pStyle w:val="4"/>
        <w:numPr>
          <w:ilvl w:val="0"/>
          <w:numId w:val="14"/>
        </w:numPr>
        <w:spacing w:beforeLines="0" w:afterLines="0"/>
        <w:ind w:firstLineChars="0"/>
        <w:rPr>
          <w:rFonts w:hint="default"/>
          <w:sz w:val="21"/>
          <w:szCs w:val="22"/>
        </w:rPr>
      </w:pPr>
      <w:r>
        <w:rPr>
          <w:rFonts w:hint="eastAsia"/>
          <w:sz w:val="21"/>
          <w:szCs w:val="22"/>
        </w:rPr>
        <w:t>取消操作箱，增加电气显示屏，显示整机状态、控制模式、电控箱各项参数，液压系统闭锁开关状态、水系统各回路开关状态，水路压力，智能化控制各界面等内容；（可以显示的均应显示，主屏首页幕显示主要参数）</w:t>
      </w:r>
    </w:p>
    <w:p w14:paraId="57D095ED">
      <w:pPr>
        <w:pStyle w:val="4"/>
        <w:numPr>
          <w:ilvl w:val="0"/>
          <w:numId w:val="14"/>
        </w:numPr>
        <w:spacing w:beforeLines="0" w:afterLines="0"/>
        <w:ind w:firstLineChars="0"/>
        <w:rPr>
          <w:rFonts w:hint="default"/>
          <w:sz w:val="21"/>
          <w:szCs w:val="22"/>
        </w:rPr>
      </w:pPr>
      <w:r>
        <w:rPr>
          <w:rFonts w:hint="eastAsia"/>
          <w:sz w:val="21"/>
          <w:szCs w:val="22"/>
        </w:rPr>
        <w:t>遥控器融合探水钻机功能控制模块（或单独设计遥控器）；</w:t>
      </w:r>
    </w:p>
    <w:p w14:paraId="0B04A911">
      <w:pPr>
        <w:pStyle w:val="4"/>
        <w:numPr>
          <w:ilvl w:val="0"/>
          <w:numId w:val="14"/>
        </w:numPr>
        <w:spacing w:beforeLines="0" w:afterLines="0"/>
        <w:ind w:firstLineChars="0"/>
        <w:rPr>
          <w:rFonts w:hint="default"/>
          <w:sz w:val="21"/>
          <w:szCs w:val="22"/>
        </w:rPr>
      </w:pPr>
      <w:r>
        <w:rPr>
          <w:rFonts w:hint="eastAsia"/>
          <w:sz w:val="21"/>
          <w:szCs w:val="22"/>
        </w:rPr>
        <w:t>设备整机行走时，播放语音报警，提示设备前进、后退、转弯</w:t>
      </w:r>
    </w:p>
    <w:p w14:paraId="7B83E102">
      <w:pPr>
        <w:pStyle w:val="4"/>
        <w:numPr>
          <w:ilvl w:val="0"/>
          <w:numId w:val="14"/>
        </w:numPr>
        <w:spacing w:beforeLines="0" w:afterLines="0"/>
        <w:ind w:firstLineChars="0"/>
        <w:rPr>
          <w:rFonts w:hint="default"/>
          <w:sz w:val="21"/>
          <w:szCs w:val="22"/>
        </w:rPr>
      </w:pPr>
      <w:r>
        <w:rPr>
          <w:rFonts w:hint="eastAsia"/>
          <w:sz w:val="21"/>
          <w:szCs w:val="22"/>
        </w:rPr>
        <w:t>设备行走模式时，后灯显示颜色为红色，设备为锚护与探水模式时，后灯颜色为绿色；在行走模式时，</w:t>
      </w:r>
      <w:r>
        <w:rPr>
          <w:rFonts w:hint="default"/>
          <w:sz w:val="21"/>
          <w:szCs w:val="22"/>
        </w:rPr>
        <w:t>uwb</w:t>
      </w:r>
      <w:r>
        <w:rPr>
          <w:rFonts w:hint="eastAsia"/>
          <w:sz w:val="21"/>
          <w:szCs w:val="22"/>
        </w:rPr>
        <w:t>人员接近报警并停机，在支护模式时，</w:t>
      </w:r>
      <w:r>
        <w:rPr>
          <w:rFonts w:hint="default"/>
          <w:sz w:val="21"/>
          <w:szCs w:val="22"/>
        </w:rPr>
        <w:t>uwb</w:t>
      </w:r>
      <w:r>
        <w:rPr>
          <w:rFonts w:hint="eastAsia"/>
          <w:sz w:val="21"/>
          <w:szCs w:val="22"/>
        </w:rPr>
        <w:t>人员接近报警不停机；</w:t>
      </w:r>
    </w:p>
    <w:p w14:paraId="58B7DD0E">
      <w:pPr>
        <w:pStyle w:val="4"/>
        <w:numPr>
          <w:ilvl w:val="0"/>
          <w:numId w:val="14"/>
        </w:numPr>
        <w:spacing w:beforeLines="0" w:afterLines="0"/>
        <w:ind w:firstLineChars="0"/>
        <w:rPr>
          <w:rFonts w:hint="default"/>
          <w:sz w:val="21"/>
          <w:szCs w:val="22"/>
        </w:rPr>
      </w:pPr>
      <w:r>
        <w:rPr>
          <w:rFonts w:hint="eastAsia"/>
          <w:sz w:val="21"/>
          <w:szCs w:val="22"/>
        </w:rPr>
        <w:t>设备后退时，设备倒车警示灯启动；</w:t>
      </w:r>
    </w:p>
    <w:p w14:paraId="7F866ACB">
      <w:pPr>
        <w:pStyle w:val="4"/>
        <w:numPr>
          <w:ilvl w:val="0"/>
          <w:numId w:val="14"/>
        </w:numPr>
        <w:spacing w:beforeLines="0" w:afterLines="0"/>
        <w:ind w:firstLineChars="0"/>
        <w:rPr>
          <w:rFonts w:hint="default"/>
          <w:sz w:val="21"/>
          <w:szCs w:val="22"/>
        </w:rPr>
      </w:pPr>
      <w:r>
        <w:rPr>
          <w:rFonts w:hint="eastAsia"/>
          <w:sz w:val="21"/>
          <w:szCs w:val="22"/>
        </w:rPr>
        <w:t>泵电机、风机除尘电机、截割电机、铲板电机、运输机电机启动前</w:t>
      </w:r>
      <w:r>
        <w:rPr>
          <w:rFonts w:hint="default"/>
          <w:sz w:val="21"/>
          <w:szCs w:val="22"/>
        </w:rPr>
        <w:t>5</w:t>
      </w:r>
      <w:r>
        <w:rPr>
          <w:rFonts w:hint="eastAsia"/>
          <w:sz w:val="21"/>
          <w:szCs w:val="22"/>
        </w:rPr>
        <w:t>秒钟，需要进行语音警示播报；</w:t>
      </w:r>
    </w:p>
    <w:p w14:paraId="625D1BA5">
      <w:pPr>
        <w:pStyle w:val="4"/>
        <w:numPr>
          <w:ilvl w:val="0"/>
          <w:numId w:val="14"/>
        </w:numPr>
        <w:spacing w:beforeLines="0" w:afterLines="0"/>
        <w:ind w:firstLineChars="0"/>
        <w:rPr>
          <w:rFonts w:hint="default"/>
          <w:sz w:val="21"/>
          <w:szCs w:val="22"/>
        </w:rPr>
      </w:pPr>
      <w:r>
        <w:rPr>
          <w:rFonts w:hint="eastAsia"/>
          <w:sz w:val="21"/>
          <w:szCs w:val="22"/>
        </w:rPr>
        <w:t>快速行走使能（不常用，遥控设计防止误触）：搬家倒面行走模式与爬坡模式，只有在搬家倒面时启动搬家倒面模式，模式切换电控</w:t>
      </w:r>
      <w:r>
        <w:rPr>
          <w:rFonts w:hint="default"/>
          <w:sz w:val="21"/>
          <w:szCs w:val="22"/>
        </w:rPr>
        <w:t>/</w:t>
      </w:r>
      <w:r>
        <w:rPr>
          <w:rFonts w:hint="eastAsia"/>
          <w:sz w:val="21"/>
          <w:szCs w:val="22"/>
        </w:rPr>
        <w:t>手控，控制变量马达控制液进行切换；</w:t>
      </w:r>
    </w:p>
    <w:p w14:paraId="5FF5B40D">
      <w:pPr>
        <w:pStyle w:val="4"/>
        <w:numPr>
          <w:ilvl w:val="0"/>
          <w:numId w:val="14"/>
        </w:numPr>
        <w:spacing w:beforeLines="0" w:afterLines="0"/>
        <w:ind w:firstLineChars="0"/>
        <w:rPr>
          <w:rFonts w:hint="default"/>
          <w:sz w:val="21"/>
          <w:szCs w:val="22"/>
        </w:rPr>
      </w:pPr>
      <w:r>
        <w:rPr>
          <w:rFonts w:hint="eastAsia"/>
          <w:sz w:val="21"/>
          <w:szCs w:val="22"/>
        </w:rPr>
        <w:t>控制箱可以完成设备所有控制，包括状态切换，模式切换；</w:t>
      </w:r>
    </w:p>
    <w:p w14:paraId="4DD9E53D">
      <w:pPr>
        <w:pStyle w:val="4"/>
        <w:numPr>
          <w:ilvl w:val="0"/>
          <w:numId w:val="14"/>
        </w:numPr>
        <w:spacing w:beforeLines="0" w:afterLines="0"/>
        <w:ind w:firstLineChars="0"/>
        <w:rPr>
          <w:rFonts w:hint="default"/>
          <w:sz w:val="21"/>
          <w:szCs w:val="22"/>
        </w:rPr>
      </w:pPr>
      <w:r>
        <w:rPr>
          <w:rFonts w:hint="eastAsia"/>
          <w:sz w:val="21"/>
          <w:szCs w:val="22"/>
        </w:rPr>
        <w:t>控制箱可以对各类电气闭锁设置临时进行屏蔽，以便检修或临时生产；</w:t>
      </w:r>
    </w:p>
    <w:p w14:paraId="52E6CB3E">
      <w:pPr>
        <w:pStyle w:val="4"/>
        <w:numPr>
          <w:ilvl w:val="0"/>
          <w:numId w:val="14"/>
        </w:numPr>
        <w:spacing w:beforeLines="0" w:afterLines="0"/>
        <w:ind w:firstLineChars="0"/>
        <w:rPr>
          <w:rFonts w:hint="default"/>
          <w:sz w:val="21"/>
          <w:szCs w:val="22"/>
        </w:rPr>
      </w:pPr>
      <w:r>
        <w:rPr>
          <w:rFonts w:hint="eastAsia"/>
          <w:sz w:val="21"/>
          <w:szCs w:val="22"/>
        </w:rPr>
        <w:t>遥控器延时在</w:t>
      </w:r>
      <w:r>
        <w:rPr>
          <w:rFonts w:hint="default"/>
          <w:sz w:val="21"/>
          <w:szCs w:val="22"/>
        </w:rPr>
        <w:t>100ms</w:t>
      </w:r>
      <w:r>
        <w:rPr>
          <w:rFonts w:hint="eastAsia"/>
          <w:sz w:val="21"/>
          <w:szCs w:val="22"/>
        </w:rPr>
        <w:t>以内；</w:t>
      </w:r>
    </w:p>
    <w:p w14:paraId="4AEB2256">
      <w:pPr>
        <w:pStyle w:val="4"/>
        <w:numPr>
          <w:ilvl w:val="0"/>
          <w:numId w:val="14"/>
        </w:numPr>
        <w:spacing w:beforeLines="0" w:afterLines="0"/>
        <w:ind w:firstLineChars="0"/>
        <w:rPr>
          <w:rFonts w:hint="default"/>
          <w:sz w:val="21"/>
          <w:szCs w:val="22"/>
        </w:rPr>
      </w:pPr>
      <w:r>
        <w:rPr>
          <w:rFonts w:hint="eastAsia"/>
          <w:sz w:val="21"/>
          <w:szCs w:val="22"/>
        </w:rPr>
        <w:t>电气界面应做新手引导提示，如操作注意事项，闭锁通知，维护提示等内容；</w:t>
      </w:r>
    </w:p>
    <w:p w14:paraId="641E33DC">
      <w:pPr>
        <w:pStyle w:val="4"/>
        <w:numPr>
          <w:ilvl w:val="0"/>
          <w:numId w:val="14"/>
        </w:numPr>
        <w:spacing w:beforeLines="0" w:afterLines="0"/>
        <w:ind w:firstLineChars="0"/>
        <w:rPr>
          <w:rFonts w:hint="default"/>
          <w:sz w:val="21"/>
          <w:szCs w:val="22"/>
        </w:rPr>
      </w:pPr>
      <w:r>
        <w:rPr>
          <w:rFonts w:hint="eastAsia"/>
          <w:sz w:val="21"/>
          <w:szCs w:val="22"/>
        </w:rPr>
        <w:t>自动截割内容：检测截割电机电流，掏槽时截割电流大于临界值，减小掏槽油缸控制阀开口大小，电流减小时，恢复控制阀开口大小；截割下切时截割电流大于临界值，减小掏槽油缸控制阀开口大小，电流减小时，恢复控制阀开口大小；具体参数需要根据矿方不同地质条件进行</w:t>
      </w:r>
    </w:p>
    <w:p w14:paraId="3E17DC0D">
      <w:pPr>
        <w:pStyle w:val="4"/>
        <w:numPr>
          <w:ilvl w:val="0"/>
          <w:numId w:val="14"/>
        </w:numPr>
        <w:spacing w:beforeLines="0" w:afterLines="0"/>
        <w:ind w:firstLineChars="0"/>
        <w:rPr>
          <w:rFonts w:hint="default"/>
          <w:sz w:val="21"/>
          <w:szCs w:val="22"/>
        </w:rPr>
      </w:pPr>
      <w:r>
        <w:rPr>
          <w:rFonts w:hint="eastAsia"/>
          <w:sz w:val="21"/>
          <w:szCs w:val="22"/>
        </w:rPr>
        <w:t>操作截割升降、卧底到达设定高度时，截割升降按钮失效，将截割按钮恢复中位后重新操作，方可继续升或降；</w:t>
      </w:r>
    </w:p>
    <w:p w14:paraId="379A586E">
      <w:pPr>
        <w:pStyle w:val="4"/>
        <w:numPr>
          <w:ilvl w:val="0"/>
          <w:numId w:val="14"/>
        </w:numPr>
        <w:spacing w:beforeLines="0" w:afterLines="0"/>
        <w:ind w:firstLineChars="0"/>
        <w:rPr>
          <w:rFonts w:hint="default"/>
          <w:sz w:val="21"/>
          <w:szCs w:val="22"/>
        </w:rPr>
      </w:pPr>
      <w:r>
        <w:rPr>
          <w:rFonts w:hint="eastAsia"/>
          <w:sz w:val="21"/>
          <w:szCs w:val="22"/>
        </w:rPr>
        <w:t>电控箱内安装机身三轴倾角传感器、测定整机姿态；</w:t>
      </w:r>
    </w:p>
    <w:p w14:paraId="7F8B5FFF">
      <w:pPr>
        <w:pStyle w:val="4"/>
        <w:numPr>
          <w:ilvl w:val="0"/>
          <w:numId w:val="14"/>
        </w:numPr>
        <w:spacing w:beforeLines="0" w:afterLines="0"/>
        <w:ind w:firstLineChars="0"/>
        <w:rPr>
          <w:rFonts w:hint="default"/>
          <w:sz w:val="21"/>
          <w:szCs w:val="22"/>
        </w:rPr>
      </w:pPr>
      <w:r>
        <w:rPr>
          <w:rFonts w:hint="eastAsia"/>
          <w:sz w:val="21"/>
          <w:szCs w:val="22"/>
        </w:rPr>
        <w:t>系统包含以下传感器：液压油位、液压油温、大臂下降压力、掏槽推进压力、锚杆机工进压力、喷雾压力、截割水流量、截割齿轮润滑泵油温、截割齿轮润滑泵油压、机身三轴倾角传感器、大臂举升位移传感器、刮板机摆动位移传感器、掏槽位移传感器、电控箱温湿度传感器、行走编码器、电压变送器、润滑脂压力传感器、</w:t>
      </w:r>
    </w:p>
    <w:p w14:paraId="6D006F1A">
      <w:pPr>
        <w:pStyle w:val="4"/>
        <w:numPr>
          <w:ilvl w:val="0"/>
          <w:numId w:val="14"/>
        </w:numPr>
        <w:spacing w:beforeLines="0" w:afterLines="0"/>
        <w:ind w:firstLineChars="0"/>
        <w:rPr>
          <w:rFonts w:hint="default"/>
          <w:sz w:val="21"/>
          <w:szCs w:val="22"/>
        </w:rPr>
      </w:pPr>
      <w:r>
        <w:rPr>
          <w:rFonts w:hint="eastAsia"/>
          <w:sz w:val="21"/>
          <w:szCs w:val="22"/>
        </w:rPr>
        <w:t>共</w:t>
      </w:r>
      <w:r>
        <w:rPr>
          <w:rFonts w:hint="default"/>
          <w:sz w:val="21"/>
          <w:szCs w:val="22"/>
        </w:rPr>
        <w:t>7</w:t>
      </w:r>
      <w:r>
        <w:rPr>
          <w:rFonts w:hint="eastAsia"/>
          <w:sz w:val="21"/>
          <w:szCs w:val="22"/>
        </w:rPr>
        <w:t>盏，</w:t>
      </w:r>
      <w:r>
        <w:rPr>
          <w:rFonts w:hint="default"/>
          <w:sz w:val="21"/>
          <w:szCs w:val="22"/>
        </w:rPr>
        <w:t>6</w:t>
      </w:r>
      <w:r>
        <w:rPr>
          <w:rFonts w:hint="eastAsia"/>
          <w:sz w:val="21"/>
          <w:szCs w:val="22"/>
        </w:rPr>
        <w:t>台照明灯，</w:t>
      </w:r>
      <w:r>
        <w:rPr>
          <w:rFonts w:hint="default"/>
          <w:sz w:val="21"/>
          <w:szCs w:val="22"/>
        </w:rPr>
        <w:t>1</w:t>
      </w:r>
      <w:r>
        <w:rPr>
          <w:rFonts w:hint="eastAsia"/>
          <w:sz w:val="21"/>
          <w:szCs w:val="22"/>
        </w:rPr>
        <w:t>台倒车信号灯；</w:t>
      </w:r>
    </w:p>
    <w:p w14:paraId="7BBD3967">
      <w:pPr>
        <w:pStyle w:val="4"/>
        <w:numPr>
          <w:ilvl w:val="0"/>
          <w:numId w:val="14"/>
        </w:numPr>
        <w:spacing w:beforeLines="0" w:afterLines="0"/>
        <w:ind w:firstLineChars="0"/>
        <w:rPr>
          <w:rFonts w:hint="default"/>
          <w:sz w:val="21"/>
          <w:szCs w:val="22"/>
        </w:rPr>
      </w:pPr>
      <w:r>
        <w:rPr>
          <w:rFonts w:hint="eastAsia"/>
          <w:sz w:val="21"/>
          <w:szCs w:val="22"/>
        </w:rPr>
        <w:t>操作系统考虑使用矿鸿系统；</w:t>
      </w:r>
    </w:p>
    <w:p w14:paraId="607DA3A0">
      <w:pPr>
        <w:pStyle w:val="4"/>
        <w:numPr>
          <w:ilvl w:val="0"/>
          <w:numId w:val="2"/>
        </w:numPr>
        <w:spacing w:beforeLines="0" w:afterLines="0"/>
        <w:ind w:firstLineChars="0"/>
        <w:rPr>
          <w:rFonts w:hint="default"/>
          <w:b/>
          <w:sz w:val="21"/>
          <w:szCs w:val="22"/>
        </w:rPr>
      </w:pPr>
      <w:r>
        <w:rPr>
          <w:rFonts w:hint="eastAsia"/>
          <w:b/>
          <w:sz w:val="21"/>
          <w:szCs w:val="22"/>
        </w:rPr>
        <w:t>操作模式</w:t>
      </w:r>
    </w:p>
    <w:p w14:paraId="465BD3F9">
      <w:pPr>
        <w:spacing w:beforeLines="0" w:afterLines="0"/>
        <w:rPr>
          <w:rFonts w:hint="default"/>
          <w:sz w:val="21"/>
          <w:szCs w:val="22"/>
        </w:rPr>
      </w:pPr>
      <w:r>
        <w:rPr>
          <w:rFonts w:hint="eastAsia"/>
          <w:sz w:val="21"/>
          <w:szCs w:val="22"/>
        </w:rPr>
        <w:t>操作方式为遥控器操作模式、远程智能化操作、本检修模式（本地遥控操作）、；操作方式切换为机载开关控制；</w:t>
      </w:r>
    </w:p>
    <w:p w14:paraId="0FB3AD60">
      <w:pPr>
        <w:pStyle w:val="4"/>
        <w:numPr>
          <w:ilvl w:val="0"/>
          <w:numId w:val="2"/>
        </w:numPr>
        <w:spacing w:beforeLines="0" w:afterLines="0"/>
        <w:ind w:firstLineChars="0"/>
        <w:rPr>
          <w:rFonts w:hint="default"/>
          <w:b/>
          <w:sz w:val="21"/>
          <w:szCs w:val="22"/>
        </w:rPr>
      </w:pPr>
      <w:r>
        <w:rPr>
          <w:rFonts w:hint="eastAsia"/>
          <w:b/>
          <w:sz w:val="21"/>
          <w:szCs w:val="22"/>
        </w:rPr>
        <w:t>遥控功能</w:t>
      </w:r>
    </w:p>
    <w:p w14:paraId="3CA07C51">
      <w:pPr>
        <w:pStyle w:val="4"/>
        <w:numPr>
          <w:ilvl w:val="0"/>
          <w:numId w:val="15"/>
        </w:numPr>
        <w:spacing w:beforeLines="0" w:afterLines="0"/>
        <w:ind w:firstLineChars="0"/>
        <w:rPr>
          <w:rFonts w:hint="default"/>
          <w:sz w:val="21"/>
          <w:szCs w:val="22"/>
        </w:rPr>
      </w:pPr>
      <w:r>
        <w:rPr>
          <w:rFonts w:hint="eastAsia"/>
          <w:sz w:val="21"/>
          <w:szCs w:val="22"/>
        </w:rPr>
        <w:t>遥控器电源开关。</w:t>
      </w:r>
    </w:p>
    <w:p w14:paraId="5E2E15F8">
      <w:pPr>
        <w:pStyle w:val="4"/>
        <w:numPr>
          <w:ilvl w:val="0"/>
          <w:numId w:val="15"/>
        </w:numPr>
        <w:spacing w:beforeLines="0" w:afterLines="0"/>
        <w:ind w:firstLineChars="0"/>
        <w:rPr>
          <w:rFonts w:hint="default"/>
          <w:sz w:val="21"/>
          <w:szCs w:val="22"/>
        </w:rPr>
      </w:pPr>
      <w:r>
        <w:rPr>
          <w:rFonts w:hint="eastAsia"/>
          <w:sz w:val="21"/>
          <w:szCs w:val="22"/>
        </w:rPr>
        <w:t>遥控器系统所需按键；</w:t>
      </w:r>
    </w:p>
    <w:p w14:paraId="1B5CDC65">
      <w:pPr>
        <w:pStyle w:val="4"/>
        <w:numPr>
          <w:ilvl w:val="0"/>
          <w:numId w:val="15"/>
        </w:numPr>
        <w:spacing w:beforeLines="0" w:afterLines="0"/>
        <w:ind w:firstLineChars="0"/>
        <w:rPr>
          <w:rFonts w:hint="default"/>
          <w:sz w:val="21"/>
          <w:szCs w:val="22"/>
        </w:rPr>
      </w:pPr>
      <w:r>
        <w:rPr>
          <w:rFonts w:hint="eastAsia"/>
          <w:sz w:val="21"/>
          <w:szCs w:val="22"/>
        </w:rPr>
        <w:t>整机所有主要动作控制；</w:t>
      </w:r>
    </w:p>
    <w:p w14:paraId="64C5E2CF">
      <w:pPr>
        <w:pStyle w:val="4"/>
        <w:numPr>
          <w:ilvl w:val="0"/>
          <w:numId w:val="15"/>
        </w:numPr>
        <w:spacing w:beforeLines="0" w:afterLines="0"/>
        <w:ind w:firstLineChars="0"/>
        <w:rPr>
          <w:rFonts w:hint="default"/>
          <w:sz w:val="21"/>
          <w:szCs w:val="22"/>
        </w:rPr>
      </w:pPr>
      <w:r>
        <w:rPr>
          <w:rFonts w:hint="eastAsia"/>
          <w:sz w:val="21"/>
          <w:szCs w:val="22"/>
        </w:rPr>
        <w:t>模式切换；</w:t>
      </w:r>
    </w:p>
    <w:p w14:paraId="5BFDC7D9">
      <w:pPr>
        <w:pStyle w:val="4"/>
        <w:numPr>
          <w:ilvl w:val="0"/>
          <w:numId w:val="15"/>
        </w:numPr>
        <w:spacing w:beforeLines="0" w:afterLines="0"/>
        <w:ind w:firstLineChars="0"/>
        <w:rPr>
          <w:rFonts w:hint="default"/>
          <w:sz w:val="21"/>
          <w:szCs w:val="22"/>
        </w:rPr>
      </w:pPr>
      <w:r>
        <w:rPr>
          <w:rFonts w:hint="eastAsia"/>
          <w:sz w:val="21"/>
          <w:szCs w:val="22"/>
        </w:rPr>
        <w:t>所有电机启动均需要组合键启动；</w:t>
      </w:r>
    </w:p>
    <w:p w14:paraId="7B1B03B9">
      <w:pPr>
        <w:pStyle w:val="4"/>
        <w:numPr>
          <w:ilvl w:val="0"/>
          <w:numId w:val="15"/>
        </w:numPr>
        <w:spacing w:beforeLines="0" w:afterLines="0"/>
        <w:ind w:firstLineChars="0"/>
        <w:rPr>
          <w:rFonts w:hint="default"/>
          <w:sz w:val="21"/>
          <w:szCs w:val="22"/>
        </w:rPr>
      </w:pPr>
      <w:r>
        <w:rPr>
          <w:rFonts w:hint="eastAsia"/>
          <w:sz w:val="21"/>
          <w:szCs w:val="22"/>
        </w:rPr>
        <w:t>临时支护升降增加使能键或组合键控制；</w:t>
      </w:r>
    </w:p>
    <w:p w14:paraId="50DFF887">
      <w:pPr>
        <w:pStyle w:val="4"/>
        <w:numPr>
          <w:ilvl w:val="0"/>
          <w:numId w:val="15"/>
        </w:numPr>
        <w:spacing w:beforeLines="0" w:afterLines="0"/>
        <w:ind w:firstLineChars="0"/>
        <w:rPr>
          <w:rFonts w:hint="default"/>
          <w:sz w:val="21"/>
          <w:szCs w:val="22"/>
        </w:rPr>
      </w:pPr>
      <w:r>
        <w:rPr>
          <w:rFonts w:hint="eastAsia"/>
          <w:sz w:val="21"/>
          <w:szCs w:val="22"/>
        </w:rPr>
        <w:t>掏槽、行走、截割上下行使用比例控制方式；</w:t>
      </w:r>
    </w:p>
    <w:p w14:paraId="15CB214B">
      <w:pPr>
        <w:pStyle w:val="4"/>
        <w:numPr>
          <w:ilvl w:val="0"/>
          <w:numId w:val="15"/>
        </w:numPr>
        <w:spacing w:beforeLines="0" w:afterLines="0"/>
        <w:ind w:firstLineChars="0"/>
        <w:rPr>
          <w:rFonts w:hint="default"/>
          <w:sz w:val="21"/>
          <w:szCs w:val="22"/>
        </w:rPr>
      </w:pPr>
      <w:r>
        <w:rPr>
          <w:rFonts w:hint="eastAsia"/>
          <w:sz w:val="21"/>
          <w:szCs w:val="22"/>
        </w:rPr>
        <w:t>使用</w:t>
      </w:r>
      <w:r>
        <w:rPr>
          <w:rFonts w:hint="default"/>
          <w:sz w:val="21"/>
          <w:szCs w:val="22"/>
        </w:rPr>
        <w:t>3.5</w:t>
      </w:r>
      <w:r>
        <w:rPr>
          <w:rFonts w:hint="eastAsia"/>
          <w:sz w:val="21"/>
          <w:szCs w:val="22"/>
        </w:rPr>
        <w:t>寸彩色显示屏幕，可翻页；</w:t>
      </w:r>
    </w:p>
    <w:p w14:paraId="0C8666EE">
      <w:pPr>
        <w:pStyle w:val="4"/>
        <w:numPr>
          <w:ilvl w:val="0"/>
          <w:numId w:val="15"/>
        </w:numPr>
        <w:spacing w:beforeLines="0" w:afterLines="0"/>
        <w:ind w:firstLineChars="0"/>
        <w:rPr>
          <w:rFonts w:hint="default"/>
          <w:sz w:val="21"/>
          <w:szCs w:val="22"/>
        </w:rPr>
      </w:pPr>
      <w:r>
        <w:rPr>
          <w:rFonts w:hint="eastAsia"/>
          <w:sz w:val="21"/>
          <w:szCs w:val="22"/>
        </w:rPr>
        <w:t>单独配备探水钻机遥控器，在整机切换至探水钻模式时，探水钻遥控器启用；</w:t>
      </w:r>
    </w:p>
    <w:p w14:paraId="003D24B5">
      <w:pPr>
        <w:pStyle w:val="4"/>
        <w:numPr>
          <w:ilvl w:val="0"/>
          <w:numId w:val="2"/>
        </w:numPr>
        <w:spacing w:beforeLines="0" w:afterLines="0"/>
        <w:ind w:firstLineChars="0"/>
        <w:rPr>
          <w:rFonts w:hint="default"/>
          <w:b/>
          <w:sz w:val="21"/>
          <w:szCs w:val="22"/>
        </w:rPr>
      </w:pPr>
      <w:r>
        <w:rPr>
          <w:rFonts w:hint="eastAsia"/>
          <w:b/>
          <w:sz w:val="21"/>
          <w:szCs w:val="22"/>
        </w:rPr>
        <w:t>人员及进度计划（按人员合并）</w:t>
      </w:r>
    </w:p>
    <w:tbl>
      <w:tblPr>
        <w:tblStyle w:val="2"/>
        <w:tblW w:w="4998"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66"/>
        <w:gridCol w:w="1092"/>
        <w:gridCol w:w="967"/>
        <w:gridCol w:w="3813"/>
        <w:gridCol w:w="967"/>
        <w:gridCol w:w="1217"/>
      </w:tblGrid>
      <w:tr w14:paraId="1B9B2E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wBefore w:w="0" w:type="auto"/>
          <w:trHeight w:val="270" w:hRule="atLeast"/>
        </w:trPr>
        <w:tc>
          <w:tcPr>
            <w:tcW w:w="234" w:type="pct"/>
            <w:tcBorders>
              <w:top w:val="single" w:color="auto" w:sz="4" w:space="0"/>
              <w:left w:val="single" w:color="auto" w:sz="4" w:space="0"/>
              <w:bottom w:val="single" w:color="auto" w:sz="4" w:space="0"/>
              <w:right w:val="single" w:color="auto" w:sz="4" w:space="0"/>
              <w:tl2br w:val="nil"/>
              <w:tr2bl w:val="nil"/>
            </w:tcBorders>
            <w:noWrap/>
            <w:vAlign w:val="center"/>
          </w:tcPr>
          <w:p w14:paraId="274EB582">
            <w:pPr>
              <w:widowControl/>
              <w:spacing w:beforeLines="0" w:afterLines="0"/>
              <w:jc w:val="center"/>
              <w:rPr>
                <w:rFonts w:hint="default" w:ascii="宋体" w:hAnsi="宋体" w:cs="宋体"/>
                <w:color w:val="000000"/>
                <w:kern w:val="0"/>
                <w:sz w:val="22"/>
                <w:szCs w:val="22"/>
              </w:rPr>
            </w:pPr>
            <w:r>
              <w:rPr>
                <w:rFonts w:hint="eastAsia" w:ascii="宋体" w:hAnsi="宋体" w:cs="宋体"/>
                <w:color w:val="000000"/>
                <w:kern w:val="0"/>
                <w:sz w:val="22"/>
                <w:szCs w:val="22"/>
              </w:rPr>
              <w:t>序号</w:t>
            </w:r>
          </w:p>
        </w:tc>
        <w:tc>
          <w:tcPr>
            <w:tcW w:w="370" w:type="pct"/>
            <w:tcBorders>
              <w:top w:val="single" w:color="auto" w:sz="4" w:space="0"/>
              <w:left w:val="nil"/>
              <w:bottom w:val="single" w:color="auto" w:sz="4" w:space="0"/>
              <w:right w:val="single" w:color="auto" w:sz="4" w:space="0"/>
              <w:tl2br w:val="nil"/>
              <w:tr2bl w:val="nil"/>
            </w:tcBorders>
            <w:noWrap/>
            <w:vAlign w:val="center"/>
          </w:tcPr>
          <w:p w14:paraId="3A451110">
            <w:pPr>
              <w:widowControl/>
              <w:spacing w:beforeLines="0" w:afterLines="0"/>
              <w:jc w:val="center"/>
              <w:rPr>
                <w:rFonts w:hint="default" w:ascii="宋体" w:hAnsi="宋体" w:cs="宋体"/>
                <w:color w:val="000000"/>
                <w:kern w:val="0"/>
                <w:sz w:val="22"/>
                <w:szCs w:val="22"/>
              </w:rPr>
            </w:pPr>
            <w:r>
              <w:rPr>
                <w:rFonts w:hint="eastAsia" w:ascii="宋体" w:hAnsi="宋体" w:cs="宋体"/>
                <w:color w:val="000000"/>
                <w:kern w:val="0"/>
                <w:sz w:val="22"/>
                <w:szCs w:val="22"/>
              </w:rPr>
              <w:t>部件</w:t>
            </w:r>
          </w:p>
        </w:tc>
        <w:tc>
          <w:tcPr>
            <w:tcW w:w="439" w:type="pct"/>
            <w:tcBorders>
              <w:top w:val="single" w:color="auto" w:sz="4" w:space="0"/>
              <w:left w:val="nil"/>
              <w:bottom w:val="single" w:color="auto" w:sz="4" w:space="0"/>
              <w:right w:val="single" w:color="auto" w:sz="4" w:space="0"/>
              <w:tl2br w:val="nil"/>
              <w:tr2bl w:val="nil"/>
            </w:tcBorders>
            <w:noWrap/>
            <w:vAlign w:val="center"/>
          </w:tcPr>
          <w:p w14:paraId="29C4491E">
            <w:pPr>
              <w:widowControl/>
              <w:spacing w:beforeLines="0" w:afterLines="0"/>
              <w:jc w:val="center"/>
              <w:rPr>
                <w:rFonts w:hint="default" w:ascii="宋体" w:hAnsi="宋体" w:cs="宋体"/>
                <w:color w:val="000000"/>
                <w:kern w:val="0"/>
                <w:sz w:val="22"/>
                <w:szCs w:val="22"/>
              </w:rPr>
            </w:pPr>
            <w:r>
              <w:rPr>
                <w:rFonts w:hint="eastAsia" w:ascii="宋体" w:hAnsi="宋体" w:cs="宋体"/>
                <w:color w:val="000000"/>
                <w:kern w:val="0"/>
                <w:sz w:val="22"/>
                <w:szCs w:val="22"/>
              </w:rPr>
              <w:t>人员名称</w:t>
            </w:r>
          </w:p>
        </w:tc>
        <w:tc>
          <w:tcPr>
            <w:tcW w:w="2702" w:type="pct"/>
            <w:tcBorders>
              <w:top w:val="single" w:color="auto" w:sz="4" w:space="0"/>
              <w:left w:val="nil"/>
              <w:bottom w:val="single" w:color="auto" w:sz="4" w:space="0"/>
              <w:right w:val="single" w:color="auto" w:sz="4" w:space="0"/>
              <w:tl2br w:val="nil"/>
              <w:tr2bl w:val="nil"/>
            </w:tcBorders>
            <w:noWrap/>
            <w:vAlign w:val="center"/>
          </w:tcPr>
          <w:p w14:paraId="4535F336">
            <w:pPr>
              <w:widowControl/>
              <w:spacing w:beforeLines="0" w:afterLines="0"/>
              <w:jc w:val="center"/>
              <w:rPr>
                <w:rFonts w:hint="default" w:ascii="宋体" w:hAnsi="宋体" w:cs="宋体"/>
                <w:color w:val="000000"/>
                <w:kern w:val="0"/>
                <w:sz w:val="22"/>
                <w:szCs w:val="22"/>
              </w:rPr>
            </w:pPr>
            <w:r>
              <w:rPr>
                <w:rFonts w:hint="eastAsia" w:ascii="宋体" w:hAnsi="宋体" w:cs="宋体"/>
                <w:color w:val="000000"/>
                <w:kern w:val="0"/>
                <w:sz w:val="22"/>
                <w:szCs w:val="22"/>
              </w:rPr>
              <w:t>工作内容</w:t>
            </w:r>
          </w:p>
        </w:tc>
        <w:tc>
          <w:tcPr>
            <w:tcW w:w="548" w:type="pct"/>
            <w:tcBorders>
              <w:top w:val="single" w:color="auto" w:sz="4" w:space="0"/>
              <w:left w:val="nil"/>
              <w:bottom w:val="single" w:color="auto" w:sz="4" w:space="0"/>
              <w:right w:val="single" w:color="auto" w:sz="4" w:space="0"/>
              <w:tl2br w:val="nil"/>
              <w:tr2bl w:val="nil"/>
            </w:tcBorders>
            <w:noWrap/>
            <w:vAlign w:val="center"/>
          </w:tcPr>
          <w:p w14:paraId="0FDC3766">
            <w:pPr>
              <w:widowControl/>
              <w:spacing w:beforeLines="0" w:afterLines="0"/>
              <w:jc w:val="center"/>
              <w:rPr>
                <w:rFonts w:hint="default" w:ascii="宋体" w:hAnsi="宋体" w:cs="宋体"/>
                <w:color w:val="000000"/>
                <w:kern w:val="0"/>
                <w:sz w:val="22"/>
                <w:szCs w:val="22"/>
              </w:rPr>
            </w:pPr>
            <w:r>
              <w:rPr>
                <w:rFonts w:hint="eastAsia" w:ascii="宋体" w:hAnsi="宋体" w:cs="宋体"/>
                <w:color w:val="000000"/>
                <w:kern w:val="0"/>
                <w:sz w:val="22"/>
                <w:szCs w:val="22"/>
              </w:rPr>
              <w:t>方案完成时间</w:t>
            </w:r>
          </w:p>
        </w:tc>
        <w:tc>
          <w:tcPr>
            <w:tcW w:w="705" w:type="pct"/>
            <w:tcBorders>
              <w:top w:val="single" w:color="auto" w:sz="4" w:space="0"/>
              <w:left w:val="nil"/>
              <w:bottom w:val="single" w:color="auto" w:sz="4" w:space="0"/>
              <w:right w:val="single" w:color="auto" w:sz="4" w:space="0"/>
              <w:tl2br w:val="nil"/>
              <w:tr2bl w:val="nil"/>
            </w:tcBorders>
            <w:noWrap/>
            <w:vAlign w:val="center"/>
          </w:tcPr>
          <w:p w14:paraId="71BF7A34">
            <w:pPr>
              <w:widowControl/>
              <w:spacing w:beforeLines="0" w:afterLines="0"/>
              <w:jc w:val="center"/>
              <w:rPr>
                <w:rFonts w:hint="default" w:ascii="宋体" w:hAnsi="宋体" w:cs="宋体"/>
                <w:color w:val="000000"/>
                <w:kern w:val="0"/>
                <w:sz w:val="22"/>
                <w:szCs w:val="22"/>
              </w:rPr>
            </w:pPr>
            <w:r>
              <w:rPr>
                <w:rFonts w:hint="eastAsia" w:ascii="宋体" w:hAnsi="宋体" w:cs="宋体"/>
                <w:color w:val="000000"/>
                <w:kern w:val="0"/>
                <w:sz w:val="22"/>
                <w:szCs w:val="22"/>
              </w:rPr>
              <w:t>图纸BOM完成时间</w:t>
            </w:r>
          </w:p>
        </w:tc>
      </w:tr>
      <w:tr w14:paraId="11715A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wBefore w:w="0" w:type="auto"/>
          <w:trHeight w:val="540" w:hRule="atLeast"/>
        </w:trPr>
        <w:tc>
          <w:tcPr>
            <w:tcW w:w="234" w:type="pct"/>
            <w:tcBorders>
              <w:top w:val="nil"/>
              <w:left w:val="single" w:color="auto" w:sz="4" w:space="0"/>
              <w:bottom w:val="single" w:color="auto" w:sz="4" w:space="0"/>
              <w:right w:val="single" w:color="auto" w:sz="4" w:space="0"/>
              <w:tl2br w:val="nil"/>
              <w:tr2bl w:val="nil"/>
            </w:tcBorders>
            <w:noWrap/>
            <w:vAlign w:val="center"/>
          </w:tcPr>
          <w:p w14:paraId="583C2866">
            <w:pPr>
              <w:widowControl/>
              <w:spacing w:beforeLines="0" w:afterLines="0"/>
              <w:jc w:val="center"/>
              <w:rPr>
                <w:rFonts w:hint="default" w:ascii="宋体" w:hAnsi="宋体" w:cs="宋体"/>
                <w:color w:val="000000"/>
                <w:kern w:val="0"/>
                <w:sz w:val="22"/>
                <w:szCs w:val="22"/>
              </w:rPr>
            </w:pPr>
            <w:r>
              <w:rPr>
                <w:rFonts w:hint="eastAsia" w:ascii="宋体" w:hAnsi="宋体" w:cs="宋体"/>
                <w:color w:val="000000"/>
                <w:kern w:val="0"/>
                <w:sz w:val="22"/>
                <w:szCs w:val="22"/>
              </w:rPr>
              <w:t>1</w:t>
            </w:r>
          </w:p>
        </w:tc>
        <w:tc>
          <w:tcPr>
            <w:tcW w:w="370" w:type="pct"/>
            <w:tcBorders>
              <w:top w:val="nil"/>
              <w:left w:val="nil"/>
              <w:bottom w:val="single" w:color="auto" w:sz="4" w:space="0"/>
              <w:right w:val="single" w:color="auto" w:sz="4" w:space="0"/>
              <w:tl2br w:val="nil"/>
              <w:tr2bl w:val="nil"/>
            </w:tcBorders>
            <w:noWrap/>
            <w:vAlign w:val="center"/>
          </w:tcPr>
          <w:p w14:paraId="0B2048D3">
            <w:pPr>
              <w:widowControl/>
              <w:spacing w:beforeLines="0" w:afterLines="0"/>
              <w:jc w:val="center"/>
              <w:rPr>
                <w:rFonts w:hint="default" w:ascii="宋体" w:hAnsi="宋体" w:cs="宋体"/>
                <w:color w:val="000000"/>
                <w:kern w:val="0"/>
                <w:sz w:val="22"/>
                <w:szCs w:val="22"/>
              </w:rPr>
            </w:pPr>
            <w:r>
              <w:rPr>
                <w:rFonts w:hint="eastAsia" w:ascii="宋体" w:hAnsi="宋体" w:cs="宋体"/>
                <w:color w:val="000000"/>
                <w:kern w:val="0"/>
                <w:sz w:val="22"/>
                <w:szCs w:val="22"/>
              </w:rPr>
              <w:t>整体</w:t>
            </w:r>
          </w:p>
        </w:tc>
        <w:tc>
          <w:tcPr>
            <w:tcW w:w="439" w:type="pct"/>
            <w:tcBorders>
              <w:top w:val="nil"/>
              <w:left w:val="nil"/>
              <w:bottom w:val="single" w:color="auto" w:sz="4" w:space="0"/>
              <w:right w:val="single" w:color="auto" w:sz="4" w:space="0"/>
              <w:tl2br w:val="nil"/>
              <w:tr2bl w:val="nil"/>
            </w:tcBorders>
            <w:noWrap/>
            <w:vAlign w:val="center"/>
          </w:tcPr>
          <w:p w14:paraId="2A558599">
            <w:pPr>
              <w:widowControl/>
              <w:spacing w:beforeLines="0" w:afterLines="0"/>
              <w:jc w:val="center"/>
              <w:rPr>
                <w:rFonts w:hint="default" w:ascii="宋体" w:hAnsi="宋体" w:cs="宋体"/>
                <w:color w:val="000000"/>
                <w:kern w:val="0"/>
                <w:sz w:val="22"/>
                <w:szCs w:val="22"/>
              </w:rPr>
            </w:pPr>
            <w:r>
              <w:rPr>
                <w:rFonts w:hint="eastAsia" w:ascii="宋体" w:hAnsi="宋体" w:cs="宋体"/>
                <w:color w:val="000000"/>
                <w:kern w:val="0"/>
                <w:sz w:val="22"/>
                <w:szCs w:val="22"/>
              </w:rPr>
              <w:t>武仕源</w:t>
            </w:r>
          </w:p>
        </w:tc>
        <w:tc>
          <w:tcPr>
            <w:tcW w:w="2702" w:type="pct"/>
            <w:tcBorders>
              <w:top w:val="nil"/>
              <w:left w:val="nil"/>
              <w:bottom w:val="single" w:color="auto" w:sz="4" w:space="0"/>
              <w:right w:val="single" w:color="auto" w:sz="4" w:space="0"/>
              <w:tl2br w:val="nil"/>
              <w:tr2bl w:val="nil"/>
            </w:tcBorders>
            <w:noWrap w:val="0"/>
            <w:vAlign w:val="center"/>
          </w:tcPr>
          <w:p w14:paraId="70E06148">
            <w:pPr>
              <w:widowControl/>
              <w:spacing w:beforeLines="0" w:afterLines="0"/>
              <w:jc w:val="center"/>
              <w:rPr>
                <w:rFonts w:hint="default" w:ascii="宋体" w:hAnsi="宋体" w:cs="宋体"/>
                <w:color w:val="000000"/>
                <w:kern w:val="0"/>
                <w:sz w:val="22"/>
                <w:szCs w:val="22"/>
              </w:rPr>
            </w:pPr>
            <w:r>
              <w:rPr>
                <w:rFonts w:hint="eastAsia" w:ascii="宋体" w:hAnsi="宋体" w:cs="宋体"/>
                <w:color w:val="000000"/>
                <w:kern w:val="0"/>
                <w:sz w:val="22"/>
                <w:szCs w:val="22"/>
              </w:rPr>
              <w:t>确定整机参数、外形、各部件参数、设备控制逻辑、功能控制，完成项目设计任务书、总图</w:t>
            </w:r>
            <w:bookmarkStart w:id="0" w:name="_GoBack"/>
            <w:bookmarkEnd w:id="0"/>
            <w:r>
              <w:rPr>
                <w:rFonts w:hint="eastAsia" w:ascii="宋体" w:hAnsi="宋体" w:cs="宋体"/>
                <w:color w:val="000000"/>
                <w:kern w:val="0"/>
                <w:sz w:val="22"/>
                <w:szCs w:val="22"/>
              </w:rPr>
              <w:t>，完成整机校核。</w:t>
            </w:r>
          </w:p>
        </w:tc>
        <w:tc>
          <w:tcPr>
            <w:tcW w:w="548" w:type="pct"/>
            <w:tcBorders>
              <w:top w:val="nil"/>
              <w:left w:val="nil"/>
              <w:bottom w:val="single" w:color="auto" w:sz="4" w:space="0"/>
              <w:right w:val="single" w:color="auto" w:sz="4" w:space="0"/>
              <w:tl2br w:val="nil"/>
              <w:tr2bl w:val="nil"/>
            </w:tcBorders>
            <w:noWrap/>
            <w:vAlign w:val="center"/>
          </w:tcPr>
          <w:p w14:paraId="5CDD4EE5">
            <w:pPr>
              <w:widowControl/>
              <w:spacing w:beforeLines="0" w:afterLines="0"/>
              <w:jc w:val="center"/>
              <w:rPr>
                <w:rFonts w:hint="default" w:ascii="宋体" w:hAnsi="宋体" w:cs="宋体"/>
                <w:color w:val="000000"/>
                <w:kern w:val="0"/>
                <w:sz w:val="22"/>
                <w:szCs w:val="22"/>
              </w:rPr>
            </w:pPr>
            <w:r>
              <w:rPr>
                <w:rFonts w:hint="eastAsia" w:ascii="宋体" w:hAnsi="宋体" w:cs="宋体"/>
                <w:color w:val="000000"/>
                <w:kern w:val="0"/>
                <w:sz w:val="22"/>
                <w:szCs w:val="22"/>
              </w:rPr>
              <w:t>1月8日</w:t>
            </w:r>
          </w:p>
        </w:tc>
        <w:tc>
          <w:tcPr>
            <w:tcW w:w="705" w:type="pct"/>
            <w:tcBorders>
              <w:top w:val="nil"/>
              <w:left w:val="nil"/>
              <w:bottom w:val="single" w:color="auto" w:sz="4" w:space="0"/>
              <w:right w:val="single" w:color="auto" w:sz="4" w:space="0"/>
              <w:tl2br w:val="nil"/>
              <w:tr2bl w:val="nil"/>
            </w:tcBorders>
            <w:noWrap/>
            <w:vAlign w:val="center"/>
          </w:tcPr>
          <w:p w14:paraId="2E30C2C0">
            <w:pPr>
              <w:widowControl/>
              <w:spacing w:beforeLines="0" w:afterLines="0"/>
              <w:jc w:val="center"/>
              <w:rPr>
                <w:rFonts w:hint="default" w:ascii="宋体" w:hAnsi="宋体" w:cs="宋体"/>
                <w:color w:val="000000"/>
                <w:kern w:val="0"/>
                <w:sz w:val="22"/>
                <w:szCs w:val="22"/>
              </w:rPr>
            </w:pPr>
            <w:r>
              <w:rPr>
                <w:rFonts w:hint="eastAsia" w:ascii="宋体" w:hAnsi="宋体" w:cs="宋体"/>
                <w:color w:val="000000"/>
                <w:kern w:val="0"/>
                <w:sz w:val="22"/>
                <w:szCs w:val="22"/>
              </w:rPr>
              <w:t>4月15日</w:t>
            </w:r>
          </w:p>
        </w:tc>
      </w:tr>
      <w:tr w14:paraId="2D14CD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wBefore w:w="0" w:type="auto"/>
          <w:trHeight w:val="270" w:hRule="atLeast"/>
        </w:trPr>
        <w:tc>
          <w:tcPr>
            <w:tcW w:w="234" w:type="pct"/>
            <w:tcBorders>
              <w:top w:val="nil"/>
              <w:left w:val="single" w:color="auto" w:sz="4" w:space="0"/>
              <w:bottom w:val="single" w:color="auto" w:sz="4" w:space="0"/>
              <w:right w:val="single" w:color="auto" w:sz="4" w:space="0"/>
              <w:tl2br w:val="nil"/>
              <w:tr2bl w:val="nil"/>
            </w:tcBorders>
            <w:noWrap/>
            <w:vAlign w:val="center"/>
          </w:tcPr>
          <w:p w14:paraId="6EAA0F5D">
            <w:pPr>
              <w:widowControl/>
              <w:spacing w:beforeLines="0" w:afterLines="0"/>
              <w:jc w:val="center"/>
              <w:rPr>
                <w:rFonts w:hint="default" w:ascii="宋体" w:hAnsi="宋体" w:cs="宋体"/>
                <w:color w:val="000000"/>
                <w:kern w:val="0"/>
                <w:sz w:val="22"/>
                <w:szCs w:val="22"/>
              </w:rPr>
            </w:pPr>
            <w:r>
              <w:rPr>
                <w:rFonts w:hint="eastAsia" w:ascii="宋体" w:hAnsi="宋体" w:cs="宋体"/>
                <w:color w:val="000000"/>
                <w:kern w:val="0"/>
                <w:sz w:val="22"/>
                <w:szCs w:val="22"/>
              </w:rPr>
              <w:t>2</w:t>
            </w:r>
          </w:p>
        </w:tc>
        <w:tc>
          <w:tcPr>
            <w:tcW w:w="370" w:type="pct"/>
            <w:tcBorders>
              <w:top w:val="nil"/>
              <w:left w:val="nil"/>
              <w:bottom w:val="single" w:color="auto" w:sz="4" w:space="0"/>
              <w:right w:val="single" w:color="auto" w:sz="4" w:space="0"/>
              <w:tl2br w:val="nil"/>
              <w:tr2bl w:val="nil"/>
            </w:tcBorders>
            <w:noWrap/>
            <w:vAlign w:val="center"/>
          </w:tcPr>
          <w:p w14:paraId="43E141C6">
            <w:pPr>
              <w:widowControl/>
              <w:spacing w:beforeLines="0" w:afterLines="0"/>
              <w:jc w:val="center"/>
              <w:rPr>
                <w:rFonts w:hint="default" w:ascii="宋体" w:hAnsi="宋体" w:cs="宋体"/>
                <w:color w:val="000000"/>
                <w:kern w:val="0"/>
                <w:sz w:val="22"/>
                <w:szCs w:val="22"/>
              </w:rPr>
            </w:pPr>
            <w:r>
              <w:rPr>
                <w:rFonts w:hint="eastAsia" w:ascii="宋体" w:hAnsi="宋体" w:cs="宋体"/>
                <w:color w:val="000000"/>
                <w:kern w:val="0"/>
                <w:sz w:val="22"/>
                <w:szCs w:val="22"/>
              </w:rPr>
              <w:t>截割部</w:t>
            </w:r>
          </w:p>
        </w:tc>
        <w:tc>
          <w:tcPr>
            <w:tcW w:w="439" w:type="pct"/>
            <w:tcBorders>
              <w:top w:val="nil"/>
              <w:left w:val="nil"/>
              <w:bottom w:val="single" w:color="auto" w:sz="4" w:space="0"/>
              <w:right w:val="single" w:color="auto" w:sz="4" w:space="0"/>
              <w:tl2br w:val="nil"/>
              <w:tr2bl w:val="nil"/>
            </w:tcBorders>
            <w:noWrap/>
            <w:vAlign w:val="center"/>
          </w:tcPr>
          <w:p w14:paraId="1A7A4256">
            <w:pPr>
              <w:widowControl/>
              <w:spacing w:beforeLines="0" w:afterLines="0"/>
              <w:jc w:val="center"/>
              <w:rPr>
                <w:rFonts w:hint="default" w:ascii="宋体" w:hAnsi="宋体" w:cs="宋体"/>
                <w:color w:val="000000"/>
                <w:kern w:val="0"/>
                <w:sz w:val="22"/>
                <w:szCs w:val="22"/>
              </w:rPr>
            </w:pPr>
            <w:r>
              <w:rPr>
                <w:rFonts w:hint="eastAsia" w:ascii="宋体" w:hAnsi="宋体" w:cs="宋体"/>
                <w:color w:val="000000"/>
                <w:kern w:val="0"/>
                <w:sz w:val="22"/>
                <w:szCs w:val="22"/>
              </w:rPr>
              <w:t>冯文宾</w:t>
            </w:r>
          </w:p>
        </w:tc>
        <w:tc>
          <w:tcPr>
            <w:tcW w:w="2702" w:type="pct"/>
            <w:tcBorders>
              <w:top w:val="nil"/>
              <w:left w:val="nil"/>
              <w:bottom w:val="single" w:color="auto" w:sz="4" w:space="0"/>
              <w:right w:val="single" w:color="auto" w:sz="4" w:space="0"/>
              <w:tl2br w:val="nil"/>
              <w:tr2bl w:val="nil"/>
            </w:tcBorders>
            <w:noWrap/>
            <w:vAlign w:val="center"/>
          </w:tcPr>
          <w:p w14:paraId="2908AD35">
            <w:pPr>
              <w:widowControl/>
              <w:spacing w:beforeLines="0" w:afterLines="0"/>
              <w:jc w:val="center"/>
              <w:rPr>
                <w:rFonts w:hint="default" w:ascii="宋体" w:hAnsi="宋体" w:cs="宋体"/>
                <w:color w:val="000000"/>
                <w:kern w:val="0"/>
                <w:sz w:val="22"/>
                <w:szCs w:val="22"/>
              </w:rPr>
            </w:pPr>
            <w:r>
              <w:rPr>
                <w:rFonts w:hint="eastAsia" w:ascii="宋体" w:hAnsi="宋体" w:cs="宋体"/>
                <w:color w:val="000000"/>
                <w:kern w:val="0"/>
                <w:sz w:val="22"/>
                <w:szCs w:val="22"/>
              </w:rPr>
              <w:t>截割大臂，截割滑移机架，截割油缸高强度设计</w:t>
            </w:r>
            <w:r>
              <w:rPr>
                <w:rFonts w:hint="default" w:ascii="宋体" w:hAnsi="宋体" w:cs="宋体"/>
                <w:color w:val="000000"/>
                <w:kern w:val="0"/>
                <w:sz w:val="22"/>
                <w:szCs w:val="22"/>
              </w:rPr>
              <w:t>,</w:t>
            </w:r>
            <w:r>
              <w:rPr>
                <w:rFonts w:hint="eastAsia" w:ascii="宋体" w:hAnsi="宋体" w:cs="宋体"/>
                <w:color w:val="000000"/>
                <w:kern w:val="0"/>
                <w:sz w:val="22"/>
                <w:szCs w:val="22"/>
              </w:rPr>
              <w:t>滚筒直径1250mm</w:t>
            </w:r>
          </w:p>
        </w:tc>
        <w:tc>
          <w:tcPr>
            <w:tcW w:w="548" w:type="pct"/>
            <w:tcBorders>
              <w:top w:val="nil"/>
              <w:left w:val="nil"/>
              <w:bottom w:val="single" w:color="auto" w:sz="4" w:space="0"/>
              <w:right w:val="single" w:color="auto" w:sz="4" w:space="0"/>
              <w:tl2br w:val="nil"/>
              <w:tr2bl w:val="nil"/>
            </w:tcBorders>
            <w:noWrap/>
            <w:vAlign w:val="center"/>
          </w:tcPr>
          <w:p w14:paraId="7B201CF1">
            <w:pPr>
              <w:widowControl/>
              <w:spacing w:beforeLines="0" w:afterLines="0"/>
              <w:jc w:val="center"/>
              <w:rPr>
                <w:rFonts w:hint="default" w:ascii="宋体" w:hAnsi="宋体" w:cs="宋体"/>
                <w:color w:val="000000"/>
                <w:kern w:val="0"/>
                <w:sz w:val="22"/>
                <w:szCs w:val="22"/>
              </w:rPr>
            </w:pPr>
            <w:r>
              <w:rPr>
                <w:rFonts w:hint="eastAsia" w:ascii="宋体" w:hAnsi="宋体" w:cs="宋体"/>
                <w:color w:val="000000"/>
                <w:kern w:val="0"/>
                <w:sz w:val="22"/>
                <w:szCs w:val="22"/>
              </w:rPr>
              <w:t>2月5日</w:t>
            </w:r>
          </w:p>
        </w:tc>
        <w:tc>
          <w:tcPr>
            <w:tcW w:w="705" w:type="pct"/>
            <w:tcBorders>
              <w:top w:val="nil"/>
              <w:left w:val="nil"/>
              <w:bottom w:val="single" w:color="auto" w:sz="4" w:space="0"/>
              <w:right w:val="single" w:color="auto" w:sz="4" w:space="0"/>
              <w:tl2br w:val="nil"/>
              <w:tr2bl w:val="nil"/>
            </w:tcBorders>
            <w:noWrap/>
            <w:vAlign w:val="center"/>
          </w:tcPr>
          <w:p w14:paraId="57F88351">
            <w:pPr>
              <w:widowControl/>
              <w:spacing w:beforeLines="0" w:afterLines="0"/>
              <w:jc w:val="center"/>
              <w:rPr>
                <w:rFonts w:hint="default" w:ascii="宋体" w:hAnsi="宋体" w:cs="宋体"/>
                <w:color w:val="000000"/>
                <w:kern w:val="0"/>
                <w:sz w:val="22"/>
                <w:szCs w:val="22"/>
              </w:rPr>
            </w:pPr>
            <w:r>
              <w:rPr>
                <w:rFonts w:hint="eastAsia" w:ascii="宋体" w:hAnsi="宋体" w:cs="宋体"/>
                <w:color w:val="000000"/>
                <w:kern w:val="0"/>
                <w:sz w:val="22"/>
                <w:szCs w:val="22"/>
              </w:rPr>
              <w:t>4月1日</w:t>
            </w:r>
          </w:p>
        </w:tc>
      </w:tr>
      <w:tr w14:paraId="3F77B3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wBefore w:w="0" w:type="auto"/>
          <w:trHeight w:val="270" w:hRule="atLeast"/>
        </w:trPr>
        <w:tc>
          <w:tcPr>
            <w:tcW w:w="234" w:type="pct"/>
            <w:tcBorders>
              <w:top w:val="nil"/>
              <w:left w:val="single" w:color="auto" w:sz="4" w:space="0"/>
              <w:bottom w:val="single" w:color="auto" w:sz="4" w:space="0"/>
              <w:right w:val="single" w:color="auto" w:sz="4" w:space="0"/>
              <w:tl2br w:val="nil"/>
              <w:tr2bl w:val="nil"/>
            </w:tcBorders>
            <w:noWrap/>
            <w:vAlign w:val="center"/>
          </w:tcPr>
          <w:p w14:paraId="0881D434">
            <w:pPr>
              <w:widowControl/>
              <w:spacing w:beforeLines="0" w:afterLines="0"/>
              <w:jc w:val="center"/>
              <w:rPr>
                <w:rFonts w:hint="default" w:ascii="宋体" w:hAnsi="宋体" w:cs="宋体"/>
                <w:color w:val="000000"/>
                <w:kern w:val="0"/>
                <w:sz w:val="22"/>
                <w:szCs w:val="22"/>
              </w:rPr>
            </w:pPr>
            <w:r>
              <w:rPr>
                <w:rFonts w:hint="eastAsia" w:ascii="宋体" w:hAnsi="宋体" w:cs="宋体"/>
                <w:color w:val="000000"/>
                <w:kern w:val="0"/>
                <w:sz w:val="22"/>
                <w:szCs w:val="22"/>
              </w:rPr>
              <w:t>3</w:t>
            </w:r>
          </w:p>
        </w:tc>
        <w:tc>
          <w:tcPr>
            <w:tcW w:w="370" w:type="pct"/>
            <w:tcBorders>
              <w:top w:val="nil"/>
              <w:left w:val="nil"/>
              <w:bottom w:val="single" w:color="auto" w:sz="4" w:space="0"/>
              <w:right w:val="single" w:color="auto" w:sz="4" w:space="0"/>
              <w:tl2br w:val="nil"/>
              <w:tr2bl w:val="nil"/>
            </w:tcBorders>
            <w:noWrap/>
            <w:vAlign w:val="center"/>
          </w:tcPr>
          <w:p w14:paraId="1AEAD793">
            <w:pPr>
              <w:widowControl/>
              <w:spacing w:beforeLines="0" w:afterLines="0"/>
              <w:jc w:val="center"/>
              <w:rPr>
                <w:rFonts w:hint="default" w:ascii="宋体" w:hAnsi="宋体" w:cs="宋体"/>
                <w:color w:val="000000"/>
                <w:kern w:val="0"/>
                <w:sz w:val="22"/>
                <w:szCs w:val="22"/>
              </w:rPr>
            </w:pPr>
            <w:r>
              <w:rPr>
                <w:rFonts w:hint="eastAsia" w:ascii="宋体" w:hAnsi="宋体" w:cs="宋体"/>
                <w:color w:val="000000"/>
                <w:kern w:val="0"/>
                <w:sz w:val="22"/>
                <w:szCs w:val="22"/>
              </w:rPr>
              <w:t>底盘</w:t>
            </w:r>
          </w:p>
        </w:tc>
        <w:tc>
          <w:tcPr>
            <w:tcW w:w="439" w:type="pct"/>
            <w:tcBorders>
              <w:top w:val="nil"/>
              <w:left w:val="nil"/>
              <w:bottom w:val="single" w:color="auto" w:sz="4" w:space="0"/>
              <w:right w:val="single" w:color="auto" w:sz="4" w:space="0"/>
              <w:tl2br w:val="nil"/>
              <w:tr2bl w:val="nil"/>
            </w:tcBorders>
            <w:noWrap/>
            <w:vAlign w:val="center"/>
          </w:tcPr>
          <w:p w14:paraId="2E7C929C">
            <w:pPr>
              <w:widowControl/>
              <w:spacing w:beforeLines="0" w:afterLines="0"/>
              <w:jc w:val="center"/>
              <w:rPr>
                <w:rFonts w:hint="default" w:ascii="宋体" w:hAnsi="宋体" w:cs="宋体"/>
                <w:color w:val="000000"/>
                <w:kern w:val="0"/>
                <w:sz w:val="22"/>
                <w:szCs w:val="22"/>
              </w:rPr>
            </w:pPr>
            <w:r>
              <w:rPr>
                <w:rFonts w:hint="eastAsia" w:ascii="宋体" w:hAnsi="宋体" w:cs="宋体"/>
                <w:color w:val="000000"/>
                <w:kern w:val="0"/>
                <w:sz w:val="22"/>
                <w:szCs w:val="22"/>
              </w:rPr>
              <w:t>武仕源</w:t>
            </w:r>
          </w:p>
        </w:tc>
        <w:tc>
          <w:tcPr>
            <w:tcW w:w="2702" w:type="pct"/>
            <w:tcBorders>
              <w:top w:val="nil"/>
              <w:left w:val="nil"/>
              <w:bottom w:val="single" w:color="auto" w:sz="4" w:space="0"/>
              <w:right w:val="single" w:color="auto" w:sz="4" w:space="0"/>
              <w:tl2br w:val="nil"/>
              <w:tr2bl w:val="nil"/>
            </w:tcBorders>
            <w:noWrap/>
            <w:vAlign w:val="center"/>
          </w:tcPr>
          <w:p w14:paraId="77D85F06">
            <w:pPr>
              <w:widowControl/>
              <w:spacing w:beforeLines="0" w:afterLines="0"/>
              <w:jc w:val="center"/>
              <w:rPr>
                <w:rFonts w:hint="default" w:ascii="宋体" w:hAnsi="宋体" w:cs="宋体"/>
                <w:color w:val="000000"/>
                <w:kern w:val="0"/>
                <w:sz w:val="22"/>
                <w:szCs w:val="22"/>
              </w:rPr>
            </w:pPr>
            <w:r>
              <w:rPr>
                <w:rFonts w:hint="eastAsia" w:ascii="宋体" w:hAnsi="宋体" w:cs="宋体"/>
                <w:color w:val="000000"/>
                <w:kern w:val="0"/>
                <w:sz w:val="22"/>
                <w:szCs w:val="22"/>
              </w:rPr>
              <w:t>底盘设计，整体设计</w:t>
            </w:r>
          </w:p>
        </w:tc>
        <w:tc>
          <w:tcPr>
            <w:tcW w:w="548" w:type="pct"/>
            <w:tcBorders>
              <w:top w:val="nil"/>
              <w:left w:val="nil"/>
              <w:bottom w:val="single" w:color="auto" w:sz="4" w:space="0"/>
              <w:right w:val="single" w:color="auto" w:sz="4" w:space="0"/>
              <w:tl2br w:val="nil"/>
              <w:tr2bl w:val="nil"/>
            </w:tcBorders>
            <w:noWrap/>
            <w:vAlign w:val="center"/>
          </w:tcPr>
          <w:p w14:paraId="021DBF58">
            <w:pPr>
              <w:widowControl/>
              <w:spacing w:beforeLines="0" w:afterLines="0"/>
              <w:jc w:val="center"/>
              <w:rPr>
                <w:rFonts w:hint="default" w:ascii="宋体" w:hAnsi="宋体" w:cs="宋体"/>
                <w:color w:val="000000"/>
                <w:kern w:val="0"/>
                <w:sz w:val="22"/>
                <w:szCs w:val="22"/>
              </w:rPr>
            </w:pPr>
            <w:r>
              <w:rPr>
                <w:rFonts w:hint="eastAsia" w:ascii="宋体" w:hAnsi="宋体" w:cs="宋体"/>
                <w:color w:val="000000"/>
                <w:kern w:val="0"/>
                <w:sz w:val="22"/>
                <w:szCs w:val="22"/>
              </w:rPr>
              <w:t>2月5日</w:t>
            </w:r>
          </w:p>
        </w:tc>
        <w:tc>
          <w:tcPr>
            <w:tcW w:w="705" w:type="pct"/>
            <w:tcBorders>
              <w:top w:val="nil"/>
              <w:left w:val="nil"/>
              <w:bottom w:val="single" w:color="auto" w:sz="4" w:space="0"/>
              <w:right w:val="single" w:color="auto" w:sz="4" w:space="0"/>
              <w:tl2br w:val="nil"/>
              <w:tr2bl w:val="nil"/>
            </w:tcBorders>
            <w:noWrap/>
            <w:vAlign w:val="center"/>
          </w:tcPr>
          <w:p w14:paraId="1F32A2C9">
            <w:pPr>
              <w:widowControl/>
              <w:spacing w:beforeLines="0" w:afterLines="0"/>
              <w:jc w:val="center"/>
              <w:rPr>
                <w:rFonts w:hint="default" w:ascii="宋体" w:hAnsi="宋体" w:cs="宋体"/>
                <w:color w:val="000000"/>
                <w:kern w:val="0"/>
                <w:sz w:val="22"/>
                <w:szCs w:val="22"/>
              </w:rPr>
            </w:pPr>
            <w:r>
              <w:rPr>
                <w:rFonts w:hint="eastAsia" w:ascii="宋体" w:hAnsi="宋体" w:cs="宋体"/>
                <w:color w:val="000000"/>
                <w:kern w:val="0"/>
                <w:sz w:val="22"/>
                <w:szCs w:val="22"/>
              </w:rPr>
              <w:t>3月15日</w:t>
            </w:r>
          </w:p>
        </w:tc>
      </w:tr>
      <w:tr w14:paraId="5C04C5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wBefore w:w="0" w:type="auto"/>
          <w:trHeight w:val="270" w:hRule="atLeast"/>
        </w:trPr>
        <w:tc>
          <w:tcPr>
            <w:tcW w:w="234" w:type="pct"/>
            <w:tcBorders>
              <w:top w:val="nil"/>
              <w:left w:val="single" w:color="auto" w:sz="4" w:space="0"/>
              <w:bottom w:val="single" w:color="auto" w:sz="4" w:space="0"/>
              <w:right w:val="single" w:color="auto" w:sz="4" w:space="0"/>
              <w:tl2br w:val="nil"/>
              <w:tr2bl w:val="nil"/>
            </w:tcBorders>
            <w:noWrap/>
            <w:vAlign w:val="center"/>
          </w:tcPr>
          <w:p w14:paraId="04FAFAB6">
            <w:pPr>
              <w:widowControl/>
              <w:spacing w:beforeLines="0" w:afterLines="0"/>
              <w:jc w:val="center"/>
              <w:rPr>
                <w:rFonts w:hint="default" w:ascii="宋体" w:hAnsi="宋体" w:cs="宋体"/>
                <w:color w:val="000000"/>
                <w:kern w:val="0"/>
                <w:sz w:val="22"/>
                <w:szCs w:val="22"/>
              </w:rPr>
            </w:pPr>
            <w:r>
              <w:rPr>
                <w:rFonts w:hint="eastAsia" w:ascii="宋体" w:hAnsi="宋体" w:cs="宋体"/>
                <w:color w:val="000000"/>
                <w:kern w:val="0"/>
                <w:sz w:val="22"/>
                <w:szCs w:val="22"/>
              </w:rPr>
              <w:t>4</w:t>
            </w:r>
          </w:p>
        </w:tc>
        <w:tc>
          <w:tcPr>
            <w:tcW w:w="370" w:type="pct"/>
            <w:tcBorders>
              <w:top w:val="nil"/>
              <w:left w:val="nil"/>
              <w:bottom w:val="single" w:color="auto" w:sz="4" w:space="0"/>
              <w:right w:val="single" w:color="auto" w:sz="4" w:space="0"/>
              <w:tl2br w:val="nil"/>
              <w:tr2bl w:val="nil"/>
            </w:tcBorders>
            <w:noWrap/>
            <w:vAlign w:val="center"/>
          </w:tcPr>
          <w:p w14:paraId="61DD98D1">
            <w:pPr>
              <w:widowControl/>
              <w:spacing w:beforeLines="0" w:afterLines="0"/>
              <w:jc w:val="center"/>
              <w:rPr>
                <w:rFonts w:hint="default" w:ascii="宋体" w:hAnsi="宋体" w:cs="宋体"/>
                <w:color w:val="000000"/>
                <w:kern w:val="0"/>
                <w:sz w:val="22"/>
                <w:szCs w:val="22"/>
              </w:rPr>
            </w:pPr>
            <w:r>
              <w:rPr>
                <w:rFonts w:hint="eastAsia" w:ascii="宋体" w:hAnsi="宋体" w:cs="宋体"/>
                <w:color w:val="000000"/>
                <w:kern w:val="0"/>
                <w:sz w:val="22"/>
                <w:szCs w:val="22"/>
              </w:rPr>
              <w:t>铲板部</w:t>
            </w:r>
          </w:p>
        </w:tc>
        <w:tc>
          <w:tcPr>
            <w:tcW w:w="439" w:type="pct"/>
            <w:tcBorders>
              <w:top w:val="nil"/>
              <w:left w:val="nil"/>
              <w:bottom w:val="single" w:color="auto" w:sz="4" w:space="0"/>
              <w:right w:val="single" w:color="auto" w:sz="4" w:space="0"/>
              <w:tl2br w:val="nil"/>
              <w:tr2bl w:val="nil"/>
            </w:tcBorders>
            <w:noWrap/>
            <w:vAlign w:val="center"/>
          </w:tcPr>
          <w:p w14:paraId="3F10CA13">
            <w:pPr>
              <w:widowControl/>
              <w:spacing w:beforeLines="0" w:afterLines="0"/>
              <w:jc w:val="center"/>
              <w:rPr>
                <w:rFonts w:hint="default" w:ascii="宋体" w:hAnsi="宋体" w:cs="宋体"/>
                <w:color w:val="000000"/>
                <w:kern w:val="0"/>
                <w:sz w:val="22"/>
                <w:szCs w:val="22"/>
              </w:rPr>
            </w:pPr>
            <w:r>
              <w:rPr>
                <w:rFonts w:hint="eastAsia" w:ascii="宋体" w:hAnsi="宋体" w:cs="宋体"/>
                <w:color w:val="000000"/>
                <w:kern w:val="0"/>
                <w:sz w:val="22"/>
                <w:szCs w:val="22"/>
              </w:rPr>
              <w:t>刘小军</w:t>
            </w:r>
          </w:p>
        </w:tc>
        <w:tc>
          <w:tcPr>
            <w:tcW w:w="2702" w:type="pct"/>
            <w:tcBorders>
              <w:top w:val="nil"/>
              <w:left w:val="nil"/>
              <w:bottom w:val="single" w:color="auto" w:sz="4" w:space="0"/>
              <w:right w:val="single" w:color="auto" w:sz="4" w:space="0"/>
              <w:tl2br w:val="nil"/>
              <w:tr2bl w:val="nil"/>
            </w:tcBorders>
            <w:noWrap/>
            <w:vAlign w:val="center"/>
          </w:tcPr>
          <w:p w14:paraId="199D3D1B">
            <w:pPr>
              <w:widowControl/>
              <w:spacing w:beforeLines="0" w:afterLines="0"/>
              <w:jc w:val="center"/>
              <w:rPr>
                <w:rFonts w:hint="default" w:ascii="宋体" w:hAnsi="宋体" w:cs="宋体"/>
                <w:color w:val="000000"/>
                <w:kern w:val="0"/>
                <w:sz w:val="22"/>
                <w:szCs w:val="22"/>
              </w:rPr>
            </w:pPr>
            <w:r>
              <w:rPr>
                <w:rFonts w:hint="eastAsia" w:ascii="宋体" w:hAnsi="宋体" w:cs="宋体"/>
                <w:color w:val="000000"/>
                <w:kern w:val="0"/>
                <w:sz w:val="22"/>
                <w:szCs w:val="22"/>
              </w:rPr>
              <w:t>与新铲板电机匹配，增加铲板宽度</w:t>
            </w:r>
          </w:p>
        </w:tc>
        <w:tc>
          <w:tcPr>
            <w:tcW w:w="548" w:type="pct"/>
            <w:tcBorders>
              <w:top w:val="nil"/>
              <w:left w:val="nil"/>
              <w:bottom w:val="single" w:color="auto" w:sz="4" w:space="0"/>
              <w:right w:val="single" w:color="auto" w:sz="4" w:space="0"/>
              <w:tl2br w:val="nil"/>
              <w:tr2bl w:val="nil"/>
            </w:tcBorders>
            <w:noWrap/>
            <w:vAlign w:val="center"/>
          </w:tcPr>
          <w:p w14:paraId="4E0F30CD">
            <w:pPr>
              <w:widowControl/>
              <w:spacing w:beforeLines="0" w:afterLines="0"/>
              <w:jc w:val="center"/>
              <w:rPr>
                <w:rFonts w:hint="default" w:ascii="宋体" w:hAnsi="宋体" w:cs="宋体"/>
                <w:color w:val="000000"/>
                <w:kern w:val="0"/>
                <w:sz w:val="22"/>
                <w:szCs w:val="22"/>
              </w:rPr>
            </w:pPr>
            <w:r>
              <w:rPr>
                <w:rFonts w:hint="eastAsia" w:ascii="宋体" w:hAnsi="宋体" w:cs="宋体"/>
                <w:color w:val="000000"/>
                <w:kern w:val="0"/>
                <w:sz w:val="22"/>
                <w:szCs w:val="22"/>
              </w:rPr>
              <w:t>1月30日</w:t>
            </w:r>
          </w:p>
        </w:tc>
        <w:tc>
          <w:tcPr>
            <w:tcW w:w="705" w:type="pct"/>
            <w:tcBorders>
              <w:top w:val="nil"/>
              <w:left w:val="nil"/>
              <w:bottom w:val="single" w:color="auto" w:sz="4" w:space="0"/>
              <w:right w:val="single" w:color="auto" w:sz="4" w:space="0"/>
              <w:tl2br w:val="nil"/>
              <w:tr2bl w:val="nil"/>
            </w:tcBorders>
            <w:noWrap/>
            <w:vAlign w:val="center"/>
          </w:tcPr>
          <w:p w14:paraId="2B2ACC43">
            <w:pPr>
              <w:widowControl/>
              <w:spacing w:beforeLines="0" w:afterLines="0"/>
              <w:jc w:val="center"/>
              <w:rPr>
                <w:rFonts w:hint="default" w:ascii="宋体" w:hAnsi="宋体" w:cs="宋体"/>
                <w:color w:val="000000"/>
                <w:kern w:val="0"/>
                <w:sz w:val="22"/>
                <w:szCs w:val="22"/>
              </w:rPr>
            </w:pPr>
            <w:r>
              <w:rPr>
                <w:rFonts w:hint="eastAsia" w:ascii="宋体" w:hAnsi="宋体" w:cs="宋体"/>
                <w:color w:val="000000"/>
                <w:kern w:val="0"/>
                <w:sz w:val="22"/>
                <w:szCs w:val="22"/>
              </w:rPr>
              <w:t>4月10日</w:t>
            </w:r>
          </w:p>
        </w:tc>
      </w:tr>
      <w:tr w14:paraId="15BBF9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wBefore w:w="0" w:type="auto"/>
          <w:trHeight w:val="270" w:hRule="atLeast"/>
        </w:trPr>
        <w:tc>
          <w:tcPr>
            <w:tcW w:w="234" w:type="pct"/>
            <w:tcBorders>
              <w:top w:val="nil"/>
              <w:left w:val="single" w:color="auto" w:sz="4" w:space="0"/>
              <w:bottom w:val="single" w:color="auto" w:sz="4" w:space="0"/>
              <w:right w:val="single" w:color="auto" w:sz="4" w:space="0"/>
              <w:tl2br w:val="nil"/>
              <w:tr2bl w:val="nil"/>
            </w:tcBorders>
            <w:noWrap/>
            <w:vAlign w:val="center"/>
          </w:tcPr>
          <w:p w14:paraId="2363F3D2">
            <w:pPr>
              <w:widowControl/>
              <w:spacing w:beforeLines="0" w:afterLines="0"/>
              <w:jc w:val="center"/>
              <w:rPr>
                <w:rFonts w:hint="default" w:ascii="宋体" w:hAnsi="宋体" w:cs="宋体"/>
                <w:color w:val="000000"/>
                <w:kern w:val="0"/>
                <w:sz w:val="22"/>
                <w:szCs w:val="22"/>
              </w:rPr>
            </w:pPr>
            <w:r>
              <w:rPr>
                <w:rFonts w:hint="eastAsia" w:ascii="宋体" w:hAnsi="宋体" w:cs="宋体"/>
                <w:color w:val="000000"/>
                <w:kern w:val="0"/>
                <w:sz w:val="22"/>
                <w:szCs w:val="22"/>
              </w:rPr>
              <w:t>5</w:t>
            </w:r>
          </w:p>
        </w:tc>
        <w:tc>
          <w:tcPr>
            <w:tcW w:w="370" w:type="pct"/>
            <w:tcBorders>
              <w:top w:val="nil"/>
              <w:left w:val="nil"/>
              <w:bottom w:val="single" w:color="auto" w:sz="4" w:space="0"/>
              <w:right w:val="single" w:color="auto" w:sz="4" w:space="0"/>
              <w:tl2br w:val="nil"/>
              <w:tr2bl w:val="nil"/>
            </w:tcBorders>
            <w:noWrap/>
            <w:vAlign w:val="center"/>
          </w:tcPr>
          <w:p w14:paraId="219DA955">
            <w:pPr>
              <w:widowControl/>
              <w:spacing w:beforeLines="0" w:afterLines="0"/>
              <w:jc w:val="center"/>
              <w:rPr>
                <w:rFonts w:hint="default" w:ascii="宋体" w:hAnsi="宋体" w:cs="宋体"/>
                <w:color w:val="000000"/>
                <w:kern w:val="0"/>
                <w:sz w:val="22"/>
                <w:szCs w:val="22"/>
              </w:rPr>
            </w:pPr>
            <w:r>
              <w:rPr>
                <w:rFonts w:hint="eastAsia" w:ascii="宋体" w:hAnsi="宋体" w:cs="宋体"/>
                <w:color w:val="000000"/>
                <w:kern w:val="0"/>
                <w:sz w:val="22"/>
                <w:szCs w:val="22"/>
              </w:rPr>
              <w:t>运输部</w:t>
            </w:r>
          </w:p>
        </w:tc>
        <w:tc>
          <w:tcPr>
            <w:tcW w:w="439" w:type="pct"/>
            <w:tcBorders>
              <w:top w:val="nil"/>
              <w:left w:val="nil"/>
              <w:bottom w:val="single" w:color="auto" w:sz="4" w:space="0"/>
              <w:right w:val="single" w:color="auto" w:sz="4" w:space="0"/>
              <w:tl2br w:val="nil"/>
              <w:tr2bl w:val="nil"/>
            </w:tcBorders>
            <w:noWrap/>
            <w:vAlign w:val="center"/>
          </w:tcPr>
          <w:p w14:paraId="53A122B9">
            <w:pPr>
              <w:widowControl/>
              <w:spacing w:beforeLines="0" w:afterLines="0"/>
              <w:jc w:val="center"/>
              <w:rPr>
                <w:rFonts w:hint="default" w:ascii="宋体" w:hAnsi="宋体" w:cs="宋体"/>
                <w:color w:val="000000"/>
                <w:kern w:val="0"/>
                <w:sz w:val="22"/>
                <w:szCs w:val="22"/>
              </w:rPr>
            </w:pPr>
            <w:r>
              <w:rPr>
                <w:rFonts w:hint="eastAsia" w:ascii="宋体" w:hAnsi="宋体" w:cs="宋体"/>
                <w:color w:val="000000"/>
                <w:kern w:val="0"/>
                <w:sz w:val="22"/>
                <w:szCs w:val="22"/>
              </w:rPr>
              <w:t>刘小军</w:t>
            </w:r>
          </w:p>
        </w:tc>
        <w:tc>
          <w:tcPr>
            <w:tcW w:w="2702" w:type="pct"/>
            <w:tcBorders>
              <w:top w:val="nil"/>
              <w:left w:val="nil"/>
              <w:bottom w:val="single" w:color="auto" w:sz="4" w:space="0"/>
              <w:right w:val="single" w:color="auto" w:sz="4" w:space="0"/>
              <w:tl2br w:val="nil"/>
              <w:tr2bl w:val="nil"/>
            </w:tcBorders>
            <w:noWrap/>
            <w:vAlign w:val="center"/>
          </w:tcPr>
          <w:p w14:paraId="4EF5AEAA">
            <w:pPr>
              <w:widowControl/>
              <w:spacing w:beforeLines="0" w:afterLines="0"/>
              <w:jc w:val="center"/>
              <w:rPr>
                <w:rFonts w:hint="default" w:ascii="宋体" w:hAnsi="宋体" w:cs="宋体"/>
                <w:color w:val="000000"/>
                <w:kern w:val="0"/>
                <w:sz w:val="22"/>
                <w:szCs w:val="22"/>
              </w:rPr>
            </w:pPr>
            <w:r>
              <w:rPr>
                <w:rFonts w:hint="eastAsia" w:ascii="宋体" w:hAnsi="宋体" w:cs="宋体"/>
                <w:color w:val="000000"/>
                <w:kern w:val="0"/>
                <w:sz w:val="22"/>
                <w:szCs w:val="22"/>
              </w:rPr>
              <w:t>增加运输功率，做岩石适应性技改，根据整机校核情况</w:t>
            </w:r>
          </w:p>
        </w:tc>
        <w:tc>
          <w:tcPr>
            <w:tcW w:w="548" w:type="pct"/>
            <w:tcBorders>
              <w:top w:val="nil"/>
              <w:left w:val="nil"/>
              <w:bottom w:val="single" w:color="auto" w:sz="4" w:space="0"/>
              <w:right w:val="single" w:color="auto" w:sz="4" w:space="0"/>
              <w:tl2br w:val="nil"/>
              <w:tr2bl w:val="nil"/>
            </w:tcBorders>
            <w:noWrap/>
            <w:vAlign w:val="center"/>
          </w:tcPr>
          <w:p w14:paraId="3BAD55C7">
            <w:pPr>
              <w:widowControl/>
              <w:spacing w:beforeLines="0" w:afterLines="0"/>
              <w:jc w:val="center"/>
              <w:rPr>
                <w:rFonts w:hint="default" w:ascii="宋体" w:hAnsi="宋体" w:cs="宋体"/>
                <w:color w:val="000000"/>
                <w:kern w:val="0"/>
                <w:sz w:val="22"/>
                <w:szCs w:val="22"/>
              </w:rPr>
            </w:pPr>
            <w:r>
              <w:rPr>
                <w:rFonts w:hint="eastAsia" w:ascii="宋体" w:hAnsi="宋体" w:cs="宋体"/>
                <w:color w:val="000000"/>
                <w:kern w:val="0"/>
                <w:sz w:val="22"/>
                <w:szCs w:val="22"/>
              </w:rPr>
              <w:t>2月15日</w:t>
            </w:r>
          </w:p>
        </w:tc>
        <w:tc>
          <w:tcPr>
            <w:tcW w:w="705" w:type="pct"/>
            <w:tcBorders>
              <w:top w:val="nil"/>
              <w:left w:val="nil"/>
              <w:bottom w:val="single" w:color="auto" w:sz="4" w:space="0"/>
              <w:right w:val="single" w:color="auto" w:sz="4" w:space="0"/>
              <w:tl2br w:val="nil"/>
              <w:tr2bl w:val="nil"/>
            </w:tcBorders>
            <w:noWrap/>
            <w:vAlign w:val="center"/>
          </w:tcPr>
          <w:p w14:paraId="110B1485">
            <w:pPr>
              <w:widowControl/>
              <w:spacing w:beforeLines="0" w:afterLines="0"/>
              <w:jc w:val="center"/>
              <w:rPr>
                <w:rFonts w:hint="default" w:ascii="宋体" w:hAnsi="宋体" w:cs="宋体"/>
                <w:color w:val="000000"/>
                <w:kern w:val="0"/>
                <w:sz w:val="22"/>
                <w:szCs w:val="22"/>
              </w:rPr>
            </w:pPr>
            <w:r>
              <w:rPr>
                <w:rFonts w:hint="eastAsia" w:ascii="宋体" w:hAnsi="宋体" w:cs="宋体"/>
                <w:color w:val="000000"/>
                <w:kern w:val="0"/>
                <w:sz w:val="22"/>
                <w:szCs w:val="22"/>
              </w:rPr>
              <w:t>3月10日</w:t>
            </w:r>
          </w:p>
        </w:tc>
      </w:tr>
      <w:tr w14:paraId="10039D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wBefore w:w="0" w:type="auto"/>
          <w:trHeight w:val="270" w:hRule="atLeast"/>
        </w:trPr>
        <w:tc>
          <w:tcPr>
            <w:tcW w:w="234" w:type="pct"/>
            <w:tcBorders>
              <w:top w:val="nil"/>
              <w:left w:val="single" w:color="auto" w:sz="4" w:space="0"/>
              <w:bottom w:val="single" w:color="auto" w:sz="4" w:space="0"/>
              <w:right w:val="single" w:color="auto" w:sz="4" w:space="0"/>
              <w:tl2br w:val="nil"/>
              <w:tr2bl w:val="nil"/>
            </w:tcBorders>
            <w:noWrap/>
            <w:vAlign w:val="center"/>
          </w:tcPr>
          <w:p w14:paraId="7B98F458">
            <w:pPr>
              <w:widowControl/>
              <w:spacing w:beforeLines="0" w:afterLines="0"/>
              <w:jc w:val="center"/>
              <w:rPr>
                <w:rFonts w:hint="default" w:ascii="宋体" w:hAnsi="宋体" w:cs="宋体"/>
                <w:color w:val="000000"/>
                <w:kern w:val="0"/>
                <w:sz w:val="22"/>
                <w:szCs w:val="22"/>
              </w:rPr>
            </w:pPr>
            <w:r>
              <w:rPr>
                <w:rFonts w:hint="eastAsia" w:ascii="宋体" w:hAnsi="宋体" w:cs="宋体"/>
                <w:color w:val="000000"/>
                <w:kern w:val="0"/>
                <w:sz w:val="22"/>
                <w:szCs w:val="22"/>
              </w:rPr>
              <w:t>7</w:t>
            </w:r>
          </w:p>
        </w:tc>
        <w:tc>
          <w:tcPr>
            <w:tcW w:w="370" w:type="pct"/>
            <w:tcBorders>
              <w:top w:val="nil"/>
              <w:left w:val="nil"/>
              <w:bottom w:val="single" w:color="auto" w:sz="4" w:space="0"/>
              <w:right w:val="single" w:color="auto" w:sz="4" w:space="0"/>
              <w:tl2br w:val="nil"/>
              <w:tr2bl w:val="nil"/>
            </w:tcBorders>
            <w:noWrap/>
            <w:vAlign w:val="center"/>
          </w:tcPr>
          <w:p w14:paraId="3ED84740">
            <w:pPr>
              <w:widowControl/>
              <w:spacing w:beforeLines="0" w:afterLines="0"/>
              <w:jc w:val="center"/>
              <w:rPr>
                <w:rFonts w:hint="default" w:ascii="宋体" w:hAnsi="宋体" w:cs="宋体"/>
                <w:color w:val="000000"/>
                <w:kern w:val="0"/>
                <w:sz w:val="22"/>
                <w:szCs w:val="22"/>
              </w:rPr>
            </w:pPr>
            <w:r>
              <w:rPr>
                <w:rFonts w:hint="eastAsia" w:ascii="宋体" w:hAnsi="宋体" w:cs="宋体"/>
                <w:color w:val="000000"/>
                <w:kern w:val="0"/>
                <w:sz w:val="22"/>
                <w:szCs w:val="22"/>
              </w:rPr>
              <w:t>临时支护</w:t>
            </w:r>
          </w:p>
        </w:tc>
        <w:tc>
          <w:tcPr>
            <w:tcW w:w="439" w:type="pct"/>
            <w:tcBorders>
              <w:top w:val="nil"/>
              <w:left w:val="nil"/>
              <w:bottom w:val="single" w:color="auto" w:sz="4" w:space="0"/>
              <w:right w:val="single" w:color="auto" w:sz="4" w:space="0"/>
              <w:tl2br w:val="nil"/>
              <w:tr2bl w:val="nil"/>
            </w:tcBorders>
            <w:noWrap/>
            <w:vAlign w:val="center"/>
          </w:tcPr>
          <w:p w14:paraId="154E19F3">
            <w:pPr>
              <w:widowControl/>
              <w:spacing w:beforeLines="0" w:afterLines="0"/>
              <w:jc w:val="center"/>
              <w:rPr>
                <w:rFonts w:hint="default" w:ascii="宋体" w:hAnsi="宋体" w:cs="宋体"/>
                <w:color w:val="000000"/>
                <w:kern w:val="0"/>
                <w:sz w:val="22"/>
                <w:szCs w:val="22"/>
              </w:rPr>
            </w:pPr>
            <w:r>
              <w:rPr>
                <w:rFonts w:hint="eastAsia" w:ascii="宋体" w:hAnsi="宋体" w:cs="宋体"/>
                <w:color w:val="000000"/>
                <w:kern w:val="0"/>
                <w:sz w:val="22"/>
                <w:szCs w:val="22"/>
              </w:rPr>
              <w:t>冯文斌康一博</w:t>
            </w:r>
          </w:p>
        </w:tc>
        <w:tc>
          <w:tcPr>
            <w:tcW w:w="2702" w:type="pct"/>
            <w:tcBorders>
              <w:top w:val="nil"/>
              <w:left w:val="nil"/>
              <w:bottom w:val="single" w:color="auto" w:sz="4" w:space="0"/>
              <w:right w:val="single" w:color="auto" w:sz="4" w:space="0"/>
              <w:tl2br w:val="nil"/>
              <w:tr2bl w:val="nil"/>
            </w:tcBorders>
            <w:noWrap/>
            <w:vAlign w:val="center"/>
          </w:tcPr>
          <w:p w14:paraId="24B77EDA">
            <w:pPr>
              <w:widowControl/>
              <w:spacing w:beforeLines="0" w:afterLines="0"/>
              <w:jc w:val="center"/>
              <w:rPr>
                <w:rFonts w:hint="default" w:ascii="宋体" w:hAnsi="宋体" w:cs="宋体"/>
                <w:color w:val="000000"/>
                <w:kern w:val="0"/>
                <w:sz w:val="22"/>
                <w:szCs w:val="22"/>
              </w:rPr>
            </w:pPr>
            <w:r>
              <w:rPr>
                <w:rFonts w:hint="eastAsia" w:ascii="宋体" w:hAnsi="宋体" w:cs="宋体"/>
                <w:color w:val="000000"/>
                <w:kern w:val="0"/>
                <w:sz w:val="22"/>
                <w:szCs w:val="22"/>
              </w:rPr>
              <w:t>根据本体部更改，对临时支护重新设计</w:t>
            </w:r>
          </w:p>
        </w:tc>
        <w:tc>
          <w:tcPr>
            <w:tcW w:w="548" w:type="pct"/>
            <w:tcBorders>
              <w:top w:val="nil"/>
              <w:left w:val="nil"/>
              <w:bottom w:val="single" w:color="auto" w:sz="4" w:space="0"/>
              <w:right w:val="single" w:color="auto" w:sz="4" w:space="0"/>
              <w:tl2br w:val="nil"/>
              <w:tr2bl w:val="nil"/>
            </w:tcBorders>
            <w:noWrap/>
            <w:vAlign w:val="center"/>
          </w:tcPr>
          <w:p w14:paraId="6E2DE6D2">
            <w:pPr>
              <w:widowControl/>
              <w:spacing w:beforeLines="0" w:afterLines="0"/>
              <w:jc w:val="center"/>
              <w:rPr>
                <w:rFonts w:hint="default" w:ascii="宋体" w:hAnsi="宋体" w:cs="宋体"/>
                <w:color w:val="000000"/>
                <w:kern w:val="0"/>
                <w:sz w:val="22"/>
                <w:szCs w:val="22"/>
              </w:rPr>
            </w:pPr>
            <w:r>
              <w:rPr>
                <w:rFonts w:hint="eastAsia" w:ascii="宋体" w:hAnsi="宋体" w:cs="宋体"/>
                <w:color w:val="000000"/>
                <w:kern w:val="0"/>
                <w:sz w:val="22"/>
                <w:szCs w:val="22"/>
              </w:rPr>
              <w:t>2月20日</w:t>
            </w:r>
          </w:p>
        </w:tc>
        <w:tc>
          <w:tcPr>
            <w:tcW w:w="705" w:type="pct"/>
            <w:tcBorders>
              <w:top w:val="nil"/>
              <w:left w:val="nil"/>
              <w:bottom w:val="single" w:color="auto" w:sz="4" w:space="0"/>
              <w:right w:val="single" w:color="auto" w:sz="4" w:space="0"/>
              <w:tl2br w:val="nil"/>
              <w:tr2bl w:val="nil"/>
            </w:tcBorders>
            <w:noWrap/>
            <w:vAlign w:val="center"/>
          </w:tcPr>
          <w:p w14:paraId="67BE5F7F">
            <w:pPr>
              <w:widowControl/>
              <w:spacing w:beforeLines="0" w:afterLines="0"/>
              <w:jc w:val="center"/>
              <w:rPr>
                <w:rFonts w:hint="default" w:ascii="宋体" w:hAnsi="宋体" w:cs="宋体"/>
                <w:color w:val="000000"/>
                <w:kern w:val="0"/>
                <w:sz w:val="22"/>
                <w:szCs w:val="22"/>
              </w:rPr>
            </w:pPr>
            <w:r>
              <w:rPr>
                <w:rFonts w:hint="eastAsia" w:ascii="宋体" w:hAnsi="宋体" w:cs="宋体"/>
                <w:color w:val="000000"/>
                <w:kern w:val="0"/>
                <w:sz w:val="22"/>
                <w:szCs w:val="22"/>
              </w:rPr>
              <w:t>4月10日</w:t>
            </w:r>
          </w:p>
        </w:tc>
      </w:tr>
      <w:tr w14:paraId="3E45C2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wBefore w:w="0" w:type="auto"/>
          <w:trHeight w:val="270" w:hRule="atLeast"/>
        </w:trPr>
        <w:tc>
          <w:tcPr>
            <w:tcW w:w="234" w:type="pct"/>
            <w:tcBorders>
              <w:top w:val="nil"/>
              <w:left w:val="single" w:color="auto" w:sz="4" w:space="0"/>
              <w:bottom w:val="single" w:color="auto" w:sz="4" w:space="0"/>
              <w:right w:val="single" w:color="auto" w:sz="4" w:space="0"/>
              <w:tl2br w:val="nil"/>
              <w:tr2bl w:val="nil"/>
            </w:tcBorders>
            <w:noWrap/>
            <w:vAlign w:val="center"/>
          </w:tcPr>
          <w:p w14:paraId="022C0B8E">
            <w:pPr>
              <w:widowControl/>
              <w:spacing w:beforeLines="0" w:afterLines="0"/>
              <w:jc w:val="center"/>
              <w:rPr>
                <w:rFonts w:hint="default" w:ascii="宋体" w:hAnsi="宋体" w:cs="宋体"/>
                <w:color w:val="000000"/>
                <w:kern w:val="0"/>
                <w:sz w:val="22"/>
                <w:szCs w:val="22"/>
              </w:rPr>
            </w:pPr>
            <w:r>
              <w:rPr>
                <w:rFonts w:hint="eastAsia" w:ascii="宋体" w:hAnsi="宋体" w:cs="宋体"/>
                <w:color w:val="000000"/>
                <w:kern w:val="0"/>
                <w:sz w:val="22"/>
                <w:szCs w:val="22"/>
              </w:rPr>
              <w:t>8</w:t>
            </w:r>
          </w:p>
        </w:tc>
        <w:tc>
          <w:tcPr>
            <w:tcW w:w="370" w:type="pct"/>
            <w:tcBorders>
              <w:top w:val="nil"/>
              <w:left w:val="nil"/>
              <w:bottom w:val="single" w:color="auto" w:sz="4" w:space="0"/>
              <w:right w:val="single" w:color="auto" w:sz="4" w:space="0"/>
              <w:tl2br w:val="nil"/>
              <w:tr2bl w:val="nil"/>
            </w:tcBorders>
            <w:noWrap/>
            <w:vAlign w:val="center"/>
          </w:tcPr>
          <w:p w14:paraId="225ABD85">
            <w:pPr>
              <w:widowControl/>
              <w:spacing w:beforeLines="0" w:afterLines="0"/>
              <w:jc w:val="center"/>
              <w:rPr>
                <w:rFonts w:hint="default" w:ascii="宋体" w:hAnsi="宋体" w:cs="宋体"/>
                <w:color w:val="000000"/>
                <w:kern w:val="0"/>
                <w:sz w:val="22"/>
                <w:szCs w:val="22"/>
              </w:rPr>
            </w:pPr>
            <w:r>
              <w:rPr>
                <w:rFonts w:hint="eastAsia" w:ascii="宋体" w:hAnsi="宋体" w:cs="宋体"/>
                <w:color w:val="000000"/>
                <w:kern w:val="0"/>
                <w:sz w:val="22"/>
                <w:szCs w:val="22"/>
              </w:rPr>
              <w:t>减速机</w:t>
            </w:r>
          </w:p>
        </w:tc>
        <w:tc>
          <w:tcPr>
            <w:tcW w:w="439" w:type="pct"/>
            <w:tcBorders>
              <w:top w:val="nil"/>
              <w:left w:val="nil"/>
              <w:bottom w:val="single" w:color="auto" w:sz="4" w:space="0"/>
              <w:right w:val="single" w:color="auto" w:sz="4" w:space="0"/>
              <w:tl2br w:val="nil"/>
              <w:tr2bl w:val="nil"/>
            </w:tcBorders>
            <w:noWrap/>
            <w:vAlign w:val="center"/>
          </w:tcPr>
          <w:p w14:paraId="05871C4A">
            <w:pPr>
              <w:widowControl/>
              <w:spacing w:beforeLines="0" w:afterLines="0"/>
              <w:jc w:val="center"/>
              <w:rPr>
                <w:rFonts w:hint="default" w:ascii="宋体" w:hAnsi="宋体" w:cs="宋体"/>
                <w:color w:val="000000"/>
                <w:kern w:val="0"/>
                <w:sz w:val="22"/>
                <w:szCs w:val="22"/>
              </w:rPr>
            </w:pPr>
            <w:r>
              <w:rPr>
                <w:rFonts w:hint="eastAsia" w:ascii="宋体" w:hAnsi="宋体" w:cs="宋体"/>
                <w:color w:val="000000"/>
                <w:kern w:val="0"/>
                <w:sz w:val="22"/>
                <w:szCs w:val="22"/>
              </w:rPr>
              <w:t>杨井哲</w:t>
            </w:r>
          </w:p>
        </w:tc>
        <w:tc>
          <w:tcPr>
            <w:tcW w:w="2702" w:type="pct"/>
            <w:tcBorders>
              <w:top w:val="nil"/>
              <w:left w:val="nil"/>
              <w:bottom w:val="single" w:color="auto" w:sz="4" w:space="0"/>
              <w:right w:val="single" w:color="auto" w:sz="4" w:space="0"/>
              <w:tl2br w:val="nil"/>
              <w:tr2bl w:val="nil"/>
            </w:tcBorders>
            <w:noWrap/>
            <w:vAlign w:val="center"/>
          </w:tcPr>
          <w:p w14:paraId="12CA76D4">
            <w:pPr>
              <w:widowControl/>
              <w:spacing w:beforeLines="0" w:afterLines="0"/>
              <w:jc w:val="center"/>
              <w:rPr>
                <w:rFonts w:hint="default" w:ascii="宋体" w:hAnsi="宋体" w:cs="宋体"/>
                <w:color w:val="000000"/>
                <w:kern w:val="0"/>
                <w:sz w:val="22"/>
                <w:szCs w:val="22"/>
              </w:rPr>
            </w:pPr>
            <w:r>
              <w:rPr>
                <w:rFonts w:hint="eastAsia" w:ascii="宋体" w:hAnsi="宋体" w:cs="宋体"/>
                <w:color w:val="000000"/>
                <w:kern w:val="0"/>
                <w:sz w:val="22"/>
                <w:szCs w:val="22"/>
              </w:rPr>
              <w:t>560kW截割减速机、45kW运输减速机、45kW装载减速机</w:t>
            </w:r>
          </w:p>
        </w:tc>
        <w:tc>
          <w:tcPr>
            <w:tcW w:w="548" w:type="pct"/>
            <w:tcBorders>
              <w:top w:val="nil"/>
              <w:left w:val="nil"/>
              <w:bottom w:val="single" w:color="auto" w:sz="4" w:space="0"/>
              <w:right w:val="single" w:color="auto" w:sz="4" w:space="0"/>
              <w:tl2br w:val="nil"/>
              <w:tr2bl w:val="nil"/>
            </w:tcBorders>
            <w:noWrap/>
            <w:vAlign w:val="center"/>
          </w:tcPr>
          <w:p w14:paraId="0AFDA6F0">
            <w:pPr>
              <w:widowControl/>
              <w:spacing w:beforeLines="0" w:afterLines="0"/>
              <w:jc w:val="center"/>
              <w:rPr>
                <w:rFonts w:hint="default" w:ascii="宋体" w:hAnsi="宋体" w:cs="宋体"/>
                <w:color w:val="000000"/>
                <w:kern w:val="0"/>
                <w:sz w:val="22"/>
                <w:szCs w:val="22"/>
              </w:rPr>
            </w:pPr>
            <w:r>
              <w:rPr>
                <w:rFonts w:hint="eastAsia" w:ascii="宋体" w:hAnsi="宋体" w:cs="宋体"/>
                <w:color w:val="000000"/>
                <w:kern w:val="0"/>
                <w:sz w:val="22"/>
                <w:szCs w:val="22"/>
              </w:rPr>
              <w:t>3月31日</w:t>
            </w:r>
          </w:p>
        </w:tc>
        <w:tc>
          <w:tcPr>
            <w:tcW w:w="705" w:type="pct"/>
            <w:tcBorders>
              <w:top w:val="nil"/>
              <w:left w:val="nil"/>
              <w:bottom w:val="single" w:color="auto" w:sz="4" w:space="0"/>
              <w:right w:val="single" w:color="auto" w:sz="4" w:space="0"/>
              <w:tl2br w:val="nil"/>
              <w:tr2bl w:val="nil"/>
            </w:tcBorders>
            <w:noWrap/>
            <w:vAlign w:val="center"/>
          </w:tcPr>
          <w:p w14:paraId="11A59597">
            <w:pPr>
              <w:widowControl/>
              <w:spacing w:beforeLines="0" w:afterLines="0"/>
              <w:jc w:val="center"/>
              <w:rPr>
                <w:rFonts w:hint="default" w:ascii="宋体" w:hAnsi="宋体" w:cs="宋体"/>
                <w:color w:val="000000"/>
                <w:kern w:val="0"/>
                <w:sz w:val="22"/>
                <w:szCs w:val="22"/>
              </w:rPr>
            </w:pPr>
            <w:r>
              <w:rPr>
                <w:rFonts w:hint="eastAsia" w:ascii="宋体" w:hAnsi="宋体" w:cs="宋体"/>
                <w:color w:val="000000"/>
                <w:kern w:val="0"/>
                <w:sz w:val="22"/>
                <w:szCs w:val="22"/>
              </w:rPr>
              <w:t>4月15日</w:t>
            </w:r>
          </w:p>
        </w:tc>
      </w:tr>
      <w:tr w14:paraId="131643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wBefore w:w="0" w:type="auto"/>
          <w:trHeight w:val="270" w:hRule="atLeast"/>
        </w:trPr>
        <w:tc>
          <w:tcPr>
            <w:tcW w:w="234" w:type="pct"/>
            <w:tcBorders>
              <w:top w:val="nil"/>
              <w:left w:val="single" w:color="auto" w:sz="4" w:space="0"/>
              <w:bottom w:val="single" w:color="auto" w:sz="4" w:space="0"/>
              <w:right w:val="single" w:color="auto" w:sz="4" w:space="0"/>
              <w:tl2br w:val="nil"/>
              <w:tr2bl w:val="nil"/>
            </w:tcBorders>
            <w:noWrap/>
            <w:vAlign w:val="center"/>
          </w:tcPr>
          <w:p w14:paraId="286632BF">
            <w:pPr>
              <w:widowControl/>
              <w:spacing w:beforeLines="0" w:afterLines="0"/>
              <w:jc w:val="center"/>
              <w:rPr>
                <w:rFonts w:hint="default" w:ascii="宋体" w:hAnsi="宋体" w:cs="宋体"/>
                <w:color w:val="000000"/>
                <w:kern w:val="0"/>
                <w:sz w:val="22"/>
                <w:szCs w:val="22"/>
              </w:rPr>
            </w:pPr>
            <w:r>
              <w:rPr>
                <w:rFonts w:hint="eastAsia" w:ascii="宋体" w:hAnsi="宋体" w:cs="宋体"/>
                <w:color w:val="000000"/>
                <w:kern w:val="0"/>
                <w:sz w:val="22"/>
                <w:szCs w:val="22"/>
              </w:rPr>
              <w:t>8</w:t>
            </w:r>
          </w:p>
        </w:tc>
        <w:tc>
          <w:tcPr>
            <w:tcW w:w="370" w:type="pct"/>
            <w:tcBorders>
              <w:top w:val="nil"/>
              <w:left w:val="nil"/>
              <w:bottom w:val="single" w:color="auto" w:sz="4" w:space="0"/>
              <w:right w:val="single" w:color="auto" w:sz="4" w:space="0"/>
              <w:tl2br w:val="nil"/>
              <w:tr2bl w:val="nil"/>
            </w:tcBorders>
            <w:noWrap/>
            <w:vAlign w:val="center"/>
          </w:tcPr>
          <w:p w14:paraId="20A2C9E1">
            <w:pPr>
              <w:widowControl/>
              <w:spacing w:beforeLines="0" w:afterLines="0"/>
              <w:jc w:val="center"/>
              <w:rPr>
                <w:rFonts w:hint="default" w:ascii="宋体" w:hAnsi="宋体" w:cs="宋体"/>
                <w:color w:val="000000"/>
                <w:kern w:val="0"/>
                <w:sz w:val="22"/>
                <w:szCs w:val="22"/>
              </w:rPr>
            </w:pPr>
            <w:r>
              <w:rPr>
                <w:rFonts w:hint="eastAsia" w:ascii="宋体" w:hAnsi="宋体" w:cs="宋体"/>
                <w:color w:val="000000"/>
                <w:kern w:val="0"/>
                <w:sz w:val="22"/>
                <w:szCs w:val="22"/>
              </w:rPr>
              <w:t>支撑平台</w:t>
            </w:r>
          </w:p>
        </w:tc>
        <w:tc>
          <w:tcPr>
            <w:tcW w:w="439" w:type="pct"/>
            <w:tcBorders>
              <w:top w:val="nil"/>
              <w:left w:val="nil"/>
              <w:bottom w:val="single" w:color="auto" w:sz="4" w:space="0"/>
              <w:right w:val="single" w:color="auto" w:sz="4" w:space="0"/>
              <w:tl2br w:val="nil"/>
              <w:tr2bl w:val="nil"/>
            </w:tcBorders>
            <w:noWrap/>
            <w:vAlign w:val="center"/>
          </w:tcPr>
          <w:p w14:paraId="7DAE1586">
            <w:pPr>
              <w:widowControl/>
              <w:spacing w:beforeLines="0" w:afterLines="0"/>
              <w:jc w:val="center"/>
              <w:rPr>
                <w:rFonts w:hint="default" w:ascii="宋体" w:hAnsi="宋体" w:cs="宋体"/>
                <w:color w:val="000000"/>
                <w:kern w:val="0"/>
                <w:sz w:val="22"/>
                <w:szCs w:val="22"/>
              </w:rPr>
            </w:pPr>
            <w:r>
              <w:rPr>
                <w:rFonts w:hint="eastAsia" w:ascii="宋体" w:hAnsi="宋体" w:cs="宋体"/>
                <w:color w:val="000000"/>
                <w:kern w:val="0"/>
                <w:sz w:val="22"/>
                <w:szCs w:val="22"/>
              </w:rPr>
              <w:t>徐雪建</w:t>
            </w:r>
          </w:p>
        </w:tc>
        <w:tc>
          <w:tcPr>
            <w:tcW w:w="2702" w:type="pct"/>
            <w:tcBorders>
              <w:top w:val="nil"/>
              <w:left w:val="nil"/>
              <w:bottom w:val="single" w:color="auto" w:sz="4" w:space="0"/>
              <w:right w:val="single" w:color="auto" w:sz="4" w:space="0"/>
              <w:tl2br w:val="nil"/>
              <w:tr2bl w:val="nil"/>
            </w:tcBorders>
            <w:noWrap/>
            <w:vAlign w:val="center"/>
          </w:tcPr>
          <w:p w14:paraId="1868344B">
            <w:pPr>
              <w:widowControl/>
              <w:spacing w:beforeLines="0" w:afterLines="0"/>
              <w:jc w:val="center"/>
              <w:rPr>
                <w:rFonts w:hint="default" w:ascii="宋体" w:hAnsi="宋体" w:cs="宋体"/>
                <w:color w:val="000000"/>
                <w:kern w:val="0"/>
                <w:sz w:val="22"/>
                <w:szCs w:val="22"/>
              </w:rPr>
            </w:pPr>
            <w:r>
              <w:rPr>
                <w:rFonts w:hint="eastAsia" w:ascii="宋体" w:hAnsi="宋体" w:cs="宋体"/>
                <w:color w:val="000000"/>
                <w:kern w:val="0"/>
                <w:sz w:val="22"/>
                <w:szCs w:val="22"/>
              </w:rPr>
              <w:t>包含人员施工区域设计，平台整体排布</w:t>
            </w:r>
          </w:p>
        </w:tc>
        <w:tc>
          <w:tcPr>
            <w:tcW w:w="548" w:type="pct"/>
            <w:tcBorders>
              <w:top w:val="nil"/>
              <w:left w:val="nil"/>
              <w:bottom w:val="single" w:color="auto" w:sz="4" w:space="0"/>
              <w:right w:val="single" w:color="auto" w:sz="4" w:space="0"/>
              <w:tl2br w:val="nil"/>
              <w:tr2bl w:val="nil"/>
            </w:tcBorders>
            <w:noWrap/>
            <w:vAlign w:val="center"/>
          </w:tcPr>
          <w:p w14:paraId="100CF40A">
            <w:pPr>
              <w:widowControl/>
              <w:spacing w:beforeLines="0" w:afterLines="0"/>
              <w:jc w:val="center"/>
              <w:rPr>
                <w:rFonts w:hint="default" w:ascii="宋体" w:hAnsi="宋体" w:cs="宋体"/>
                <w:color w:val="000000"/>
                <w:kern w:val="0"/>
                <w:sz w:val="22"/>
                <w:szCs w:val="22"/>
              </w:rPr>
            </w:pPr>
            <w:r>
              <w:rPr>
                <w:rFonts w:hint="eastAsia" w:ascii="宋体" w:hAnsi="宋体" w:cs="宋体"/>
                <w:color w:val="000000"/>
                <w:kern w:val="0"/>
                <w:sz w:val="22"/>
                <w:szCs w:val="22"/>
              </w:rPr>
              <w:t>3月15日</w:t>
            </w:r>
          </w:p>
        </w:tc>
        <w:tc>
          <w:tcPr>
            <w:tcW w:w="705" w:type="pct"/>
            <w:tcBorders>
              <w:top w:val="nil"/>
              <w:left w:val="nil"/>
              <w:bottom w:val="single" w:color="auto" w:sz="4" w:space="0"/>
              <w:right w:val="single" w:color="auto" w:sz="4" w:space="0"/>
              <w:tl2br w:val="nil"/>
              <w:tr2bl w:val="nil"/>
            </w:tcBorders>
            <w:noWrap/>
            <w:vAlign w:val="center"/>
          </w:tcPr>
          <w:p w14:paraId="20D07E23">
            <w:pPr>
              <w:widowControl/>
              <w:spacing w:beforeLines="0" w:afterLines="0"/>
              <w:jc w:val="center"/>
              <w:rPr>
                <w:rFonts w:hint="default" w:ascii="宋体" w:hAnsi="宋体" w:cs="宋体"/>
                <w:color w:val="000000"/>
                <w:kern w:val="0"/>
                <w:sz w:val="22"/>
                <w:szCs w:val="22"/>
              </w:rPr>
            </w:pPr>
            <w:r>
              <w:rPr>
                <w:rFonts w:hint="eastAsia" w:ascii="宋体" w:hAnsi="宋体" w:cs="宋体"/>
                <w:color w:val="000000"/>
                <w:kern w:val="0"/>
                <w:sz w:val="22"/>
                <w:szCs w:val="22"/>
              </w:rPr>
              <w:t>4月10日</w:t>
            </w:r>
          </w:p>
        </w:tc>
      </w:tr>
      <w:tr w14:paraId="578645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wBefore w:w="0" w:type="auto"/>
          <w:trHeight w:val="270" w:hRule="atLeast"/>
        </w:trPr>
        <w:tc>
          <w:tcPr>
            <w:tcW w:w="234" w:type="pct"/>
            <w:tcBorders>
              <w:top w:val="nil"/>
              <w:left w:val="single" w:color="auto" w:sz="4" w:space="0"/>
              <w:bottom w:val="single" w:color="auto" w:sz="4" w:space="0"/>
              <w:right w:val="single" w:color="auto" w:sz="4" w:space="0"/>
              <w:tl2br w:val="nil"/>
              <w:tr2bl w:val="nil"/>
            </w:tcBorders>
            <w:noWrap/>
            <w:vAlign w:val="center"/>
          </w:tcPr>
          <w:p w14:paraId="68A4FC0B">
            <w:pPr>
              <w:widowControl/>
              <w:spacing w:beforeLines="0" w:afterLines="0"/>
              <w:jc w:val="center"/>
              <w:rPr>
                <w:rFonts w:hint="default" w:ascii="宋体" w:hAnsi="宋体" w:cs="宋体"/>
                <w:color w:val="000000"/>
                <w:kern w:val="0"/>
                <w:sz w:val="22"/>
                <w:szCs w:val="22"/>
              </w:rPr>
            </w:pPr>
            <w:r>
              <w:rPr>
                <w:rFonts w:hint="eastAsia" w:ascii="宋体" w:hAnsi="宋体" w:cs="宋体"/>
                <w:color w:val="000000"/>
                <w:kern w:val="0"/>
                <w:sz w:val="22"/>
                <w:szCs w:val="22"/>
              </w:rPr>
              <w:t>9</w:t>
            </w:r>
          </w:p>
        </w:tc>
        <w:tc>
          <w:tcPr>
            <w:tcW w:w="370" w:type="pct"/>
            <w:tcBorders>
              <w:top w:val="nil"/>
              <w:left w:val="nil"/>
              <w:bottom w:val="single" w:color="auto" w:sz="4" w:space="0"/>
              <w:right w:val="single" w:color="auto" w:sz="4" w:space="0"/>
              <w:tl2br w:val="nil"/>
              <w:tr2bl w:val="nil"/>
            </w:tcBorders>
            <w:noWrap/>
            <w:vAlign w:val="center"/>
          </w:tcPr>
          <w:p w14:paraId="41C485D3">
            <w:pPr>
              <w:widowControl/>
              <w:spacing w:beforeLines="0" w:afterLines="0"/>
              <w:jc w:val="center"/>
              <w:rPr>
                <w:rFonts w:hint="default" w:ascii="宋体" w:hAnsi="宋体" w:cs="宋体"/>
                <w:color w:val="000000"/>
                <w:kern w:val="0"/>
                <w:sz w:val="22"/>
                <w:szCs w:val="22"/>
              </w:rPr>
            </w:pPr>
            <w:r>
              <w:rPr>
                <w:rFonts w:hint="eastAsia" w:ascii="宋体" w:hAnsi="宋体" w:cs="宋体"/>
                <w:color w:val="000000"/>
                <w:kern w:val="0"/>
                <w:sz w:val="22"/>
                <w:szCs w:val="22"/>
              </w:rPr>
              <w:t>除尘装置</w:t>
            </w:r>
          </w:p>
        </w:tc>
        <w:tc>
          <w:tcPr>
            <w:tcW w:w="439" w:type="pct"/>
            <w:tcBorders>
              <w:top w:val="nil"/>
              <w:left w:val="nil"/>
              <w:bottom w:val="single" w:color="auto" w:sz="4" w:space="0"/>
              <w:right w:val="single" w:color="auto" w:sz="4" w:space="0"/>
              <w:tl2br w:val="nil"/>
              <w:tr2bl w:val="nil"/>
            </w:tcBorders>
            <w:noWrap/>
            <w:vAlign w:val="center"/>
          </w:tcPr>
          <w:p w14:paraId="173C44E2">
            <w:pPr>
              <w:widowControl/>
              <w:spacing w:beforeLines="0" w:afterLines="0"/>
              <w:jc w:val="center"/>
              <w:rPr>
                <w:rFonts w:hint="default" w:ascii="宋体" w:hAnsi="宋体" w:cs="宋体"/>
                <w:color w:val="000000"/>
                <w:kern w:val="0"/>
                <w:sz w:val="22"/>
                <w:szCs w:val="22"/>
              </w:rPr>
            </w:pPr>
            <w:r>
              <w:rPr>
                <w:rFonts w:hint="eastAsia" w:ascii="宋体" w:hAnsi="宋体" w:cs="宋体"/>
                <w:color w:val="000000"/>
                <w:kern w:val="0"/>
                <w:sz w:val="22"/>
                <w:szCs w:val="22"/>
              </w:rPr>
              <w:t>冯文宾</w:t>
            </w:r>
          </w:p>
        </w:tc>
        <w:tc>
          <w:tcPr>
            <w:tcW w:w="2702" w:type="pct"/>
            <w:tcBorders>
              <w:top w:val="nil"/>
              <w:left w:val="nil"/>
              <w:bottom w:val="single" w:color="auto" w:sz="4" w:space="0"/>
              <w:right w:val="single" w:color="auto" w:sz="4" w:space="0"/>
              <w:tl2br w:val="nil"/>
              <w:tr2bl w:val="nil"/>
            </w:tcBorders>
            <w:noWrap/>
            <w:vAlign w:val="center"/>
          </w:tcPr>
          <w:p w14:paraId="641B6944">
            <w:pPr>
              <w:widowControl/>
              <w:spacing w:beforeLines="0" w:afterLines="0"/>
              <w:jc w:val="center"/>
              <w:rPr>
                <w:rFonts w:hint="default" w:ascii="宋体" w:hAnsi="宋体" w:cs="宋体"/>
                <w:color w:val="000000"/>
                <w:kern w:val="0"/>
                <w:sz w:val="22"/>
                <w:szCs w:val="22"/>
              </w:rPr>
            </w:pPr>
            <w:r>
              <w:rPr>
                <w:rFonts w:hint="eastAsia" w:ascii="宋体" w:hAnsi="宋体" w:cs="宋体"/>
                <w:color w:val="000000"/>
                <w:kern w:val="0"/>
                <w:sz w:val="22"/>
                <w:szCs w:val="22"/>
              </w:rPr>
              <w:t>研发新型除尘方式（久益除尘方式）</w:t>
            </w:r>
          </w:p>
        </w:tc>
        <w:tc>
          <w:tcPr>
            <w:tcW w:w="548" w:type="pct"/>
            <w:tcBorders>
              <w:top w:val="nil"/>
              <w:left w:val="nil"/>
              <w:bottom w:val="single" w:color="auto" w:sz="4" w:space="0"/>
              <w:right w:val="single" w:color="auto" w:sz="4" w:space="0"/>
              <w:tl2br w:val="nil"/>
              <w:tr2bl w:val="nil"/>
            </w:tcBorders>
            <w:noWrap/>
            <w:vAlign w:val="center"/>
          </w:tcPr>
          <w:p w14:paraId="0D1F71F8">
            <w:pPr>
              <w:widowControl/>
              <w:spacing w:beforeLines="0" w:afterLines="0"/>
              <w:jc w:val="center"/>
              <w:rPr>
                <w:rFonts w:hint="default" w:ascii="宋体" w:hAnsi="宋体" w:cs="宋体"/>
                <w:color w:val="000000"/>
                <w:kern w:val="0"/>
                <w:sz w:val="22"/>
                <w:szCs w:val="22"/>
              </w:rPr>
            </w:pPr>
            <w:r>
              <w:rPr>
                <w:rFonts w:hint="eastAsia" w:ascii="宋体" w:hAnsi="宋体" w:cs="宋体"/>
                <w:color w:val="000000"/>
                <w:kern w:val="0"/>
                <w:sz w:val="22"/>
                <w:szCs w:val="22"/>
              </w:rPr>
              <w:t>3月15日</w:t>
            </w:r>
          </w:p>
        </w:tc>
        <w:tc>
          <w:tcPr>
            <w:tcW w:w="705" w:type="pct"/>
            <w:tcBorders>
              <w:top w:val="nil"/>
              <w:left w:val="nil"/>
              <w:bottom w:val="single" w:color="auto" w:sz="4" w:space="0"/>
              <w:right w:val="single" w:color="auto" w:sz="4" w:space="0"/>
              <w:tl2br w:val="nil"/>
              <w:tr2bl w:val="nil"/>
            </w:tcBorders>
            <w:noWrap/>
            <w:vAlign w:val="center"/>
          </w:tcPr>
          <w:p w14:paraId="1A894895">
            <w:pPr>
              <w:widowControl/>
              <w:spacing w:beforeLines="0" w:afterLines="0"/>
              <w:jc w:val="center"/>
              <w:rPr>
                <w:rFonts w:hint="default" w:ascii="宋体" w:hAnsi="宋体" w:cs="宋体"/>
                <w:color w:val="000000"/>
                <w:kern w:val="0"/>
                <w:sz w:val="22"/>
                <w:szCs w:val="22"/>
              </w:rPr>
            </w:pPr>
            <w:r>
              <w:rPr>
                <w:rFonts w:hint="eastAsia" w:ascii="宋体" w:hAnsi="宋体" w:cs="宋体"/>
                <w:color w:val="000000"/>
                <w:kern w:val="0"/>
                <w:sz w:val="22"/>
                <w:szCs w:val="22"/>
              </w:rPr>
              <w:t>4月15日</w:t>
            </w:r>
          </w:p>
        </w:tc>
      </w:tr>
      <w:tr w14:paraId="4EF0E9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wBefore w:w="0" w:type="auto"/>
          <w:trHeight w:val="270" w:hRule="atLeast"/>
        </w:trPr>
        <w:tc>
          <w:tcPr>
            <w:tcW w:w="234" w:type="pct"/>
            <w:tcBorders>
              <w:top w:val="nil"/>
              <w:left w:val="single" w:color="auto" w:sz="4" w:space="0"/>
              <w:bottom w:val="single" w:color="auto" w:sz="4" w:space="0"/>
              <w:right w:val="single" w:color="auto" w:sz="4" w:space="0"/>
              <w:tl2br w:val="nil"/>
              <w:tr2bl w:val="nil"/>
            </w:tcBorders>
            <w:noWrap/>
            <w:vAlign w:val="center"/>
          </w:tcPr>
          <w:p w14:paraId="11EA97FD">
            <w:pPr>
              <w:widowControl/>
              <w:spacing w:beforeLines="0" w:afterLines="0"/>
              <w:jc w:val="center"/>
              <w:rPr>
                <w:rFonts w:hint="default" w:ascii="宋体" w:hAnsi="宋体" w:cs="宋体"/>
                <w:color w:val="000000"/>
                <w:kern w:val="0"/>
                <w:sz w:val="22"/>
                <w:szCs w:val="22"/>
              </w:rPr>
            </w:pPr>
            <w:r>
              <w:rPr>
                <w:rFonts w:hint="eastAsia" w:ascii="宋体" w:hAnsi="宋体" w:cs="宋体"/>
                <w:color w:val="000000"/>
                <w:kern w:val="0"/>
                <w:sz w:val="22"/>
                <w:szCs w:val="22"/>
              </w:rPr>
              <w:t>12</w:t>
            </w:r>
          </w:p>
        </w:tc>
        <w:tc>
          <w:tcPr>
            <w:tcW w:w="370" w:type="pct"/>
            <w:tcBorders>
              <w:top w:val="nil"/>
              <w:left w:val="nil"/>
              <w:bottom w:val="single" w:color="auto" w:sz="4" w:space="0"/>
              <w:right w:val="single" w:color="auto" w:sz="4" w:space="0"/>
              <w:tl2br w:val="nil"/>
              <w:tr2bl w:val="nil"/>
            </w:tcBorders>
            <w:noWrap/>
            <w:vAlign w:val="center"/>
          </w:tcPr>
          <w:p w14:paraId="3AD8D2D4">
            <w:pPr>
              <w:widowControl/>
              <w:spacing w:beforeLines="0" w:afterLines="0"/>
              <w:jc w:val="center"/>
              <w:rPr>
                <w:rFonts w:hint="default" w:ascii="宋体" w:hAnsi="宋体" w:cs="宋体"/>
                <w:color w:val="000000"/>
                <w:kern w:val="0"/>
                <w:sz w:val="22"/>
                <w:szCs w:val="22"/>
              </w:rPr>
            </w:pPr>
            <w:r>
              <w:rPr>
                <w:rFonts w:hint="eastAsia" w:ascii="宋体" w:hAnsi="宋体" w:cs="宋体"/>
                <w:color w:val="000000"/>
                <w:kern w:val="0"/>
                <w:sz w:val="22"/>
                <w:szCs w:val="22"/>
              </w:rPr>
              <w:t>前锚护部</w:t>
            </w:r>
          </w:p>
        </w:tc>
        <w:tc>
          <w:tcPr>
            <w:tcW w:w="439" w:type="pct"/>
            <w:tcBorders>
              <w:top w:val="nil"/>
              <w:left w:val="nil"/>
              <w:bottom w:val="single" w:color="auto" w:sz="4" w:space="0"/>
              <w:right w:val="single" w:color="auto" w:sz="4" w:space="0"/>
              <w:tl2br w:val="nil"/>
              <w:tr2bl w:val="nil"/>
            </w:tcBorders>
            <w:noWrap/>
            <w:vAlign w:val="center"/>
          </w:tcPr>
          <w:p w14:paraId="4F392ADD">
            <w:pPr>
              <w:widowControl/>
              <w:spacing w:beforeLines="0" w:afterLines="0"/>
              <w:jc w:val="center"/>
              <w:rPr>
                <w:rFonts w:hint="default" w:ascii="宋体" w:hAnsi="宋体" w:cs="宋体"/>
                <w:color w:val="000000"/>
                <w:kern w:val="0"/>
                <w:sz w:val="22"/>
                <w:szCs w:val="22"/>
              </w:rPr>
            </w:pPr>
            <w:r>
              <w:rPr>
                <w:rFonts w:hint="eastAsia" w:ascii="宋体" w:hAnsi="宋体" w:cs="宋体"/>
                <w:color w:val="000000"/>
                <w:kern w:val="0"/>
                <w:sz w:val="22"/>
                <w:szCs w:val="22"/>
              </w:rPr>
              <w:t>康一博</w:t>
            </w:r>
          </w:p>
        </w:tc>
        <w:tc>
          <w:tcPr>
            <w:tcW w:w="2702" w:type="pct"/>
            <w:tcBorders>
              <w:top w:val="nil"/>
              <w:left w:val="nil"/>
              <w:bottom w:val="single" w:color="auto" w:sz="4" w:space="0"/>
              <w:right w:val="single" w:color="auto" w:sz="4" w:space="0"/>
              <w:tl2br w:val="nil"/>
              <w:tr2bl w:val="nil"/>
            </w:tcBorders>
            <w:noWrap/>
            <w:vAlign w:val="center"/>
          </w:tcPr>
          <w:p w14:paraId="7407F8CC">
            <w:pPr>
              <w:widowControl/>
              <w:spacing w:beforeLines="0" w:afterLines="0"/>
              <w:jc w:val="center"/>
              <w:rPr>
                <w:rFonts w:hint="default" w:ascii="宋体" w:hAnsi="宋体" w:cs="宋体"/>
                <w:color w:val="000000"/>
                <w:kern w:val="0"/>
                <w:sz w:val="22"/>
                <w:szCs w:val="22"/>
              </w:rPr>
            </w:pPr>
            <w:r>
              <w:rPr>
                <w:rFonts w:hint="eastAsia" w:ascii="宋体" w:hAnsi="宋体" w:cs="宋体"/>
                <w:color w:val="000000"/>
                <w:kern w:val="0"/>
                <w:sz w:val="22"/>
                <w:szCs w:val="22"/>
              </w:rPr>
              <w:t>根据总体研发人员要求，对前部钻架支撑架进行设计</w:t>
            </w:r>
          </w:p>
        </w:tc>
        <w:tc>
          <w:tcPr>
            <w:tcW w:w="548" w:type="pct"/>
            <w:tcBorders>
              <w:top w:val="nil"/>
              <w:left w:val="nil"/>
              <w:bottom w:val="single" w:color="auto" w:sz="4" w:space="0"/>
              <w:right w:val="single" w:color="auto" w:sz="4" w:space="0"/>
              <w:tl2br w:val="nil"/>
              <w:tr2bl w:val="nil"/>
            </w:tcBorders>
            <w:noWrap/>
            <w:vAlign w:val="center"/>
          </w:tcPr>
          <w:p w14:paraId="520B9C73">
            <w:pPr>
              <w:widowControl/>
              <w:spacing w:beforeLines="0" w:afterLines="0"/>
              <w:jc w:val="center"/>
              <w:rPr>
                <w:rFonts w:hint="default" w:ascii="宋体" w:hAnsi="宋体" w:cs="宋体"/>
                <w:color w:val="000000"/>
                <w:kern w:val="0"/>
                <w:sz w:val="22"/>
                <w:szCs w:val="22"/>
              </w:rPr>
            </w:pPr>
            <w:r>
              <w:rPr>
                <w:rFonts w:hint="eastAsia" w:ascii="宋体" w:hAnsi="宋体" w:cs="宋体"/>
                <w:color w:val="000000"/>
                <w:kern w:val="0"/>
                <w:sz w:val="22"/>
                <w:szCs w:val="22"/>
              </w:rPr>
              <w:t>3月10日</w:t>
            </w:r>
          </w:p>
        </w:tc>
        <w:tc>
          <w:tcPr>
            <w:tcW w:w="705" w:type="pct"/>
            <w:tcBorders>
              <w:top w:val="nil"/>
              <w:left w:val="nil"/>
              <w:bottom w:val="single" w:color="auto" w:sz="4" w:space="0"/>
              <w:right w:val="single" w:color="auto" w:sz="4" w:space="0"/>
              <w:tl2br w:val="nil"/>
              <w:tr2bl w:val="nil"/>
            </w:tcBorders>
            <w:noWrap/>
            <w:vAlign w:val="center"/>
          </w:tcPr>
          <w:p w14:paraId="71D3B855">
            <w:pPr>
              <w:widowControl/>
              <w:spacing w:beforeLines="0" w:afterLines="0"/>
              <w:jc w:val="center"/>
              <w:rPr>
                <w:rFonts w:hint="default" w:ascii="宋体" w:hAnsi="宋体" w:cs="宋体"/>
                <w:color w:val="000000"/>
                <w:kern w:val="0"/>
                <w:sz w:val="22"/>
                <w:szCs w:val="22"/>
              </w:rPr>
            </w:pPr>
            <w:r>
              <w:rPr>
                <w:rFonts w:hint="eastAsia" w:ascii="宋体" w:hAnsi="宋体" w:cs="宋体"/>
                <w:color w:val="000000"/>
                <w:kern w:val="0"/>
                <w:sz w:val="22"/>
                <w:szCs w:val="22"/>
              </w:rPr>
              <w:t>4月10日</w:t>
            </w:r>
          </w:p>
        </w:tc>
      </w:tr>
      <w:tr w14:paraId="49C4DC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wBefore w:w="0" w:type="auto"/>
          <w:trHeight w:val="270" w:hRule="atLeast"/>
        </w:trPr>
        <w:tc>
          <w:tcPr>
            <w:tcW w:w="234" w:type="pct"/>
            <w:tcBorders>
              <w:top w:val="nil"/>
              <w:left w:val="single" w:color="auto" w:sz="4" w:space="0"/>
              <w:bottom w:val="single" w:color="auto" w:sz="4" w:space="0"/>
              <w:right w:val="single" w:color="auto" w:sz="4" w:space="0"/>
              <w:tl2br w:val="nil"/>
              <w:tr2bl w:val="nil"/>
            </w:tcBorders>
            <w:noWrap/>
            <w:vAlign w:val="center"/>
          </w:tcPr>
          <w:p w14:paraId="08AEAD90">
            <w:pPr>
              <w:widowControl/>
              <w:spacing w:beforeLines="0" w:afterLines="0"/>
              <w:jc w:val="center"/>
              <w:rPr>
                <w:rFonts w:hint="default" w:ascii="宋体" w:hAnsi="宋体" w:cs="宋体"/>
                <w:color w:val="000000"/>
                <w:kern w:val="0"/>
                <w:sz w:val="22"/>
                <w:szCs w:val="22"/>
              </w:rPr>
            </w:pPr>
            <w:r>
              <w:rPr>
                <w:rFonts w:hint="eastAsia" w:ascii="宋体" w:hAnsi="宋体" w:cs="宋体"/>
                <w:color w:val="000000"/>
                <w:kern w:val="0"/>
                <w:sz w:val="22"/>
                <w:szCs w:val="22"/>
              </w:rPr>
              <w:t>13</w:t>
            </w:r>
          </w:p>
        </w:tc>
        <w:tc>
          <w:tcPr>
            <w:tcW w:w="370" w:type="pct"/>
            <w:tcBorders>
              <w:top w:val="nil"/>
              <w:left w:val="nil"/>
              <w:bottom w:val="single" w:color="auto" w:sz="4" w:space="0"/>
              <w:right w:val="single" w:color="auto" w:sz="4" w:space="0"/>
              <w:tl2br w:val="nil"/>
              <w:tr2bl w:val="nil"/>
            </w:tcBorders>
            <w:noWrap/>
            <w:vAlign w:val="center"/>
          </w:tcPr>
          <w:p w14:paraId="218D705B">
            <w:pPr>
              <w:widowControl/>
              <w:spacing w:beforeLines="0" w:afterLines="0"/>
              <w:jc w:val="center"/>
              <w:rPr>
                <w:rFonts w:hint="default" w:ascii="宋体" w:hAnsi="宋体" w:cs="宋体"/>
                <w:color w:val="000000"/>
                <w:kern w:val="0"/>
                <w:sz w:val="22"/>
                <w:szCs w:val="22"/>
              </w:rPr>
            </w:pPr>
            <w:r>
              <w:rPr>
                <w:rFonts w:hint="eastAsia" w:ascii="宋体" w:hAnsi="宋体" w:cs="宋体"/>
                <w:color w:val="000000"/>
                <w:kern w:val="0"/>
                <w:sz w:val="22"/>
                <w:szCs w:val="22"/>
              </w:rPr>
              <w:t>后锚护部</w:t>
            </w:r>
          </w:p>
        </w:tc>
        <w:tc>
          <w:tcPr>
            <w:tcW w:w="439" w:type="pct"/>
            <w:tcBorders>
              <w:top w:val="nil"/>
              <w:left w:val="nil"/>
              <w:bottom w:val="single" w:color="auto" w:sz="4" w:space="0"/>
              <w:right w:val="single" w:color="auto" w:sz="4" w:space="0"/>
              <w:tl2br w:val="nil"/>
              <w:tr2bl w:val="nil"/>
            </w:tcBorders>
            <w:noWrap/>
            <w:vAlign w:val="center"/>
          </w:tcPr>
          <w:p w14:paraId="29951A7C">
            <w:pPr>
              <w:widowControl/>
              <w:spacing w:beforeLines="0" w:afterLines="0"/>
              <w:jc w:val="center"/>
              <w:rPr>
                <w:rFonts w:hint="default" w:ascii="宋体" w:hAnsi="宋体" w:cs="宋体"/>
                <w:color w:val="000000"/>
                <w:kern w:val="0"/>
                <w:sz w:val="22"/>
                <w:szCs w:val="22"/>
              </w:rPr>
            </w:pPr>
            <w:r>
              <w:rPr>
                <w:rFonts w:hint="eastAsia" w:ascii="宋体" w:hAnsi="宋体" w:cs="宋体"/>
                <w:color w:val="000000"/>
                <w:kern w:val="0"/>
                <w:sz w:val="22"/>
                <w:szCs w:val="22"/>
              </w:rPr>
              <w:t>康一博</w:t>
            </w:r>
          </w:p>
        </w:tc>
        <w:tc>
          <w:tcPr>
            <w:tcW w:w="2702" w:type="pct"/>
            <w:tcBorders>
              <w:top w:val="nil"/>
              <w:left w:val="nil"/>
              <w:bottom w:val="single" w:color="auto" w:sz="4" w:space="0"/>
              <w:right w:val="single" w:color="auto" w:sz="4" w:space="0"/>
              <w:tl2br w:val="nil"/>
              <w:tr2bl w:val="nil"/>
            </w:tcBorders>
            <w:noWrap/>
            <w:vAlign w:val="center"/>
          </w:tcPr>
          <w:p w14:paraId="53C05B77">
            <w:pPr>
              <w:widowControl/>
              <w:spacing w:beforeLines="0" w:afterLines="0"/>
              <w:jc w:val="center"/>
              <w:rPr>
                <w:rFonts w:hint="default" w:ascii="宋体" w:hAnsi="宋体" w:cs="宋体"/>
                <w:color w:val="000000"/>
                <w:kern w:val="0"/>
                <w:sz w:val="22"/>
                <w:szCs w:val="22"/>
              </w:rPr>
            </w:pPr>
            <w:r>
              <w:rPr>
                <w:rFonts w:hint="eastAsia" w:ascii="宋体" w:hAnsi="宋体" w:cs="宋体"/>
                <w:color w:val="000000"/>
                <w:kern w:val="0"/>
                <w:sz w:val="22"/>
                <w:szCs w:val="22"/>
              </w:rPr>
              <w:t>根据总体研发人员要求，对后部钻架支撑架进行设计</w:t>
            </w:r>
          </w:p>
        </w:tc>
        <w:tc>
          <w:tcPr>
            <w:tcW w:w="548" w:type="pct"/>
            <w:tcBorders>
              <w:top w:val="nil"/>
              <w:left w:val="nil"/>
              <w:bottom w:val="single" w:color="auto" w:sz="4" w:space="0"/>
              <w:right w:val="single" w:color="auto" w:sz="4" w:space="0"/>
              <w:tl2br w:val="nil"/>
              <w:tr2bl w:val="nil"/>
            </w:tcBorders>
            <w:noWrap/>
            <w:vAlign w:val="center"/>
          </w:tcPr>
          <w:p w14:paraId="484C12DF">
            <w:pPr>
              <w:widowControl/>
              <w:spacing w:beforeLines="0" w:afterLines="0"/>
              <w:jc w:val="center"/>
              <w:rPr>
                <w:rFonts w:hint="default" w:ascii="宋体" w:hAnsi="宋体" w:cs="宋体"/>
                <w:color w:val="000000"/>
                <w:kern w:val="0"/>
                <w:sz w:val="22"/>
                <w:szCs w:val="22"/>
              </w:rPr>
            </w:pPr>
            <w:r>
              <w:rPr>
                <w:rFonts w:hint="eastAsia" w:ascii="宋体" w:hAnsi="宋体" w:cs="宋体"/>
                <w:color w:val="000000"/>
                <w:kern w:val="0"/>
                <w:sz w:val="22"/>
                <w:szCs w:val="22"/>
              </w:rPr>
              <w:t>3月15日</w:t>
            </w:r>
          </w:p>
        </w:tc>
        <w:tc>
          <w:tcPr>
            <w:tcW w:w="705" w:type="pct"/>
            <w:tcBorders>
              <w:top w:val="nil"/>
              <w:left w:val="nil"/>
              <w:bottom w:val="single" w:color="auto" w:sz="4" w:space="0"/>
              <w:right w:val="single" w:color="auto" w:sz="4" w:space="0"/>
              <w:tl2br w:val="nil"/>
              <w:tr2bl w:val="nil"/>
            </w:tcBorders>
            <w:noWrap/>
            <w:vAlign w:val="center"/>
          </w:tcPr>
          <w:p w14:paraId="0242B77A">
            <w:pPr>
              <w:widowControl/>
              <w:spacing w:beforeLines="0" w:afterLines="0"/>
              <w:jc w:val="center"/>
              <w:rPr>
                <w:rFonts w:hint="default" w:ascii="宋体" w:hAnsi="宋体" w:cs="宋体"/>
                <w:color w:val="000000"/>
                <w:kern w:val="0"/>
                <w:sz w:val="22"/>
                <w:szCs w:val="22"/>
              </w:rPr>
            </w:pPr>
            <w:r>
              <w:rPr>
                <w:rFonts w:hint="eastAsia" w:ascii="宋体" w:hAnsi="宋体" w:cs="宋体"/>
                <w:color w:val="000000"/>
                <w:kern w:val="0"/>
                <w:sz w:val="22"/>
                <w:szCs w:val="22"/>
              </w:rPr>
              <w:t>4月15日</w:t>
            </w:r>
          </w:p>
        </w:tc>
      </w:tr>
      <w:tr w14:paraId="59AE62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wBefore w:w="0" w:type="auto"/>
          <w:trHeight w:val="270" w:hRule="atLeast"/>
        </w:trPr>
        <w:tc>
          <w:tcPr>
            <w:tcW w:w="234" w:type="pct"/>
            <w:tcBorders>
              <w:top w:val="nil"/>
              <w:left w:val="single" w:color="auto" w:sz="4" w:space="0"/>
              <w:bottom w:val="single" w:color="auto" w:sz="4" w:space="0"/>
              <w:right w:val="single" w:color="auto" w:sz="4" w:space="0"/>
              <w:tl2br w:val="nil"/>
              <w:tr2bl w:val="nil"/>
            </w:tcBorders>
            <w:noWrap/>
            <w:vAlign w:val="center"/>
          </w:tcPr>
          <w:p w14:paraId="1F2DFDB6">
            <w:pPr>
              <w:widowControl/>
              <w:spacing w:beforeLines="0" w:afterLines="0"/>
              <w:jc w:val="center"/>
              <w:rPr>
                <w:rFonts w:hint="default" w:ascii="宋体" w:hAnsi="宋体" w:cs="宋体"/>
                <w:color w:val="000000"/>
                <w:kern w:val="0"/>
                <w:sz w:val="22"/>
                <w:szCs w:val="22"/>
              </w:rPr>
            </w:pPr>
            <w:r>
              <w:rPr>
                <w:rFonts w:hint="eastAsia" w:ascii="宋体" w:hAnsi="宋体" w:cs="宋体"/>
                <w:color w:val="000000"/>
                <w:kern w:val="0"/>
                <w:sz w:val="22"/>
                <w:szCs w:val="22"/>
              </w:rPr>
              <w:t>10</w:t>
            </w:r>
          </w:p>
        </w:tc>
        <w:tc>
          <w:tcPr>
            <w:tcW w:w="370" w:type="pct"/>
            <w:tcBorders>
              <w:top w:val="nil"/>
              <w:left w:val="nil"/>
              <w:bottom w:val="single" w:color="auto" w:sz="4" w:space="0"/>
              <w:right w:val="single" w:color="auto" w:sz="4" w:space="0"/>
              <w:tl2br w:val="nil"/>
              <w:tr2bl w:val="nil"/>
            </w:tcBorders>
            <w:noWrap/>
            <w:vAlign w:val="center"/>
          </w:tcPr>
          <w:p w14:paraId="65484D2E">
            <w:pPr>
              <w:widowControl/>
              <w:spacing w:beforeLines="0" w:afterLines="0"/>
              <w:jc w:val="center"/>
              <w:rPr>
                <w:rFonts w:hint="default" w:ascii="宋体" w:hAnsi="宋体" w:cs="宋体"/>
                <w:color w:val="000000"/>
                <w:kern w:val="0"/>
                <w:sz w:val="22"/>
                <w:szCs w:val="22"/>
              </w:rPr>
            </w:pPr>
            <w:r>
              <w:rPr>
                <w:rFonts w:hint="eastAsia" w:ascii="宋体" w:hAnsi="宋体" w:cs="宋体"/>
                <w:color w:val="000000"/>
                <w:kern w:val="0"/>
                <w:sz w:val="22"/>
                <w:szCs w:val="22"/>
              </w:rPr>
              <w:t>电气、液压平台</w:t>
            </w:r>
          </w:p>
        </w:tc>
        <w:tc>
          <w:tcPr>
            <w:tcW w:w="439" w:type="pct"/>
            <w:tcBorders>
              <w:top w:val="nil"/>
              <w:left w:val="nil"/>
              <w:bottom w:val="single" w:color="auto" w:sz="4" w:space="0"/>
              <w:right w:val="single" w:color="auto" w:sz="4" w:space="0"/>
              <w:tl2br w:val="nil"/>
              <w:tr2bl w:val="nil"/>
            </w:tcBorders>
            <w:noWrap/>
            <w:vAlign w:val="center"/>
          </w:tcPr>
          <w:p w14:paraId="341A39E9">
            <w:pPr>
              <w:widowControl/>
              <w:spacing w:beforeLines="0" w:afterLines="0"/>
              <w:jc w:val="center"/>
              <w:rPr>
                <w:rFonts w:hint="default" w:ascii="宋体" w:hAnsi="宋体" w:cs="宋体"/>
                <w:color w:val="000000"/>
                <w:kern w:val="0"/>
                <w:sz w:val="22"/>
                <w:szCs w:val="22"/>
              </w:rPr>
            </w:pPr>
            <w:r>
              <w:rPr>
                <w:rFonts w:hint="eastAsia" w:ascii="宋体" w:hAnsi="宋体" w:cs="宋体"/>
                <w:color w:val="000000"/>
                <w:kern w:val="0"/>
                <w:sz w:val="22"/>
                <w:szCs w:val="22"/>
              </w:rPr>
              <w:t>闫腾飞</w:t>
            </w:r>
          </w:p>
        </w:tc>
        <w:tc>
          <w:tcPr>
            <w:tcW w:w="2702" w:type="pct"/>
            <w:tcBorders>
              <w:top w:val="nil"/>
              <w:left w:val="nil"/>
              <w:bottom w:val="single" w:color="auto" w:sz="4" w:space="0"/>
              <w:right w:val="single" w:color="auto" w:sz="4" w:space="0"/>
              <w:tl2br w:val="nil"/>
              <w:tr2bl w:val="nil"/>
            </w:tcBorders>
            <w:noWrap/>
            <w:vAlign w:val="center"/>
          </w:tcPr>
          <w:p w14:paraId="4B2506D9">
            <w:pPr>
              <w:widowControl/>
              <w:spacing w:beforeLines="0" w:afterLines="0"/>
              <w:jc w:val="center"/>
              <w:rPr>
                <w:rFonts w:hint="default" w:ascii="宋体" w:hAnsi="宋体" w:cs="宋体"/>
                <w:color w:val="000000"/>
                <w:kern w:val="0"/>
                <w:sz w:val="22"/>
                <w:szCs w:val="22"/>
              </w:rPr>
            </w:pPr>
            <w:r>
              <w:rPr>
                <w:rFonts w:hint="eastAsia" w:ascii="宋体" w:hAnsi="宋体" w:cs="宋体"/>
                <w:color w:val="000000"/>
                <w:kern w:val="0"/>
                <w:sz w:val="22"/>
                <w:szCs w:val="22"/>
              </w:rPr>
              <w:t>与电气液压对接，完成其安装结构，保证整体外形</w:t>
            </w:r>
          </w:p>
        </w:tc>
        <w:tc>
          <w:tcPr>
            <w:tcW w:w="548" w:type="pct"/>
            <w:tcBorders>
              <w:top w:val="nil"/>
              <w:left w:val="nil"/>
              <w:bottom w:val="single" w:color="auto" w:sz="4" w:space="0"/>
              <w:right w:val="single" w:color="auto" w:sz="4" w:space="0"/>
              <w:tl2br w:val="nil"/>
              <w:tr2bl w:val="nil"/>
            </w:tcBorders>
            <w:noWrap/>
            <w:vAlign w:val="center"/>
          </w:tcPr>
          <w:p w14:paraId="583DF82B">
            <w:pPr>
              <w:widowControl/>
              <w:spacing w:beforeLines="0" w:afterLines="0"/>
              <w:jc w:val="center"/>
              <w:rPr>
                <w:rFonts w:hint="default" w:ascii="宋体" w:hAnsi="宋体" w:cs="宋体"/>
                <w:color w:val="000000"/>
                <w:kern w:val="0"/>
                <w:sz w:val="22"/>
                <w:szCs w:val="22"/>
              </w:rPr>
            </w:pPr>
            <w:r>
              <w:rPr>
                <w:rFonts w:hint="eastAsia" w:ascii="宋体" w:hAnsi="宋体" w:cs="宋体"/>
                <w:color w:val="000000"/>
                <w:kern w:val="0"/>
                <w:sz w:val="22"/>
                <w:szCs w:val="22"/>
              </w:rPr>
              <w:t>3月10日</w:t>
            </w:r>
          </w:p>
        </w:tc>
        <w:tc>
          <w:tcPr>
            <w:tcW w:w="705" w:type="pct"/>
            <w:tcBorders>
              <w:top w:val="nil"/>
              <w:left w:val="nil"/>
              <w:bottom w:val="single" w:color="auto" w:sz="4" w:space="0"/>
              <w:right w:val="single" w:color="auto" w:sz="4" w:space="0"/>
              <w:tl2br w:val="nil"/>
              <w:tr2bl w:val="nil"/>
            </w:tcBorders>
            <w:noWrap/>
            <w:vAlign w:val="center"/>
          </w:tcPr>
          <w:p w14:paraId="3C116869">
            <w:pPr>
              <w:widowControl/>
              <w:spacing w:beforeLines="0" w:afterLines="0"/>
              <w:jc w:val="center"/>
              <w:rPr>
                <w:rFonts w:hint="default" w:ascii="宋体" w:hAnsi="宋体" w:cs="宋体"/>
                <w:color w:val="000000"/>
                <w:kern w:val="0"/>
                <w:sz w:val="22"/>
                <w:szCs w:val="22"/>
              </w:rPr>
            </w:pPr>
            <w:r>
              <w:rPr>
                <w:rFonts w:hint="eastAsia" w:ascii="宋体" w:hAnsi="宋体" w:cs="宋体"/>
                <w:color w:val="000000"/>
                <w:kern w:val="0"/>
                <w:sz w:val="22"/>
                <w:szCs w:val="22"/>
              </w:rPr>
              <w:t>4月10日</w:t>
            </w:r>
          </w:p>
        </w:tc>
      </w:tr>
      <w:tr w14:paraId="13CBD8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wBefore w:w="0" w:type="auto"/>
          <w:trHeight w:val="270" w:hRule="atLeast"/>
        </w:trPr>
        <w:tc>
          <w:tcPr>
            <w:tcW w:w="234" w:type="pct"/>
            <w:tcBorders>
              <w:top w:val="nil"/>
              <w:left w:val="single" w:color="auto" w:sz="4" w:space="0"/>
              <w:bottom w:val="single" w:color="auto" w:sz="4" w:space="0"/>
              <w:right w:val="single" w:color="auto" w:sz="4" w:space="0"/>
              <w:tl2br w:val="nil"/>
              <w:tr2bl w:val="nil"/>
            </w:tcBorders>
            <w:noWrap/>
            <w:vAlign w:val="center"/>
          </w:tcPr>
          <w:p w14:paraId="56549E17">
            <w:pPr>
              <w:widowControl/>
              <w:spacing w:beforeLines="0" w:afterLines="0"/>
              <w:jc w:val="center"/>
              <w:rPr>
                <w:rFonts w:hint="default" w:ascii="宋体" w:hAnsi="宋体" w:cs="宋体"/>
                <w:color w:val="000000"/>
                <w:kern w:val="0"/>
                <w:sz w:val="22"/>
                <w:szCs w:val="22"/>
              </w:rPr>
            </w:pPr>
            <w:r>
              <w:rPr>
                <w:rFonts w:hint="eastAsia" w:ascii="宋体" w:hAnsi="宋体" w:cs="宋体"/>
                <w:color w:val="000000"/>
                <w:kern w:val="0"/>
                <w:sz w:val="22"/>
                <w:szCs w:val="22"/>
              </w:rPr>
              <w:t>11</w:t>
            </w:r>
          </w:p>
        </w:tc>
        <w:tc>
          <w:tcPr>
            <w:tcW w:w="370" w:type="pct"/>
            <w:tcBorders>
              <w:top w:val="nil"/>
              <w:left w:val="nil"/>
              <w:bottom w:val="single" w:color="auto" w:sz="4" w:space="0"/>
              <w:right w:val="single" w:color="auto" w:sz="4" w:space="0"/>
              <w:tl2br w:val="nil"/>
              <w:tr2bl w:val="nil"/>
            </w:tcBorders>
            <w:noWrap/>
            <w:vAlign w:val="center"/>
          </w:tcPr>
          <w:p w14:paraId="331B97F2">
            <w:pPr>
              <w:widowControl/>
              <w:spacing w:beforeLines="0" w:afterLines="0"/>
              <w:jc w:val="center"/>
              <w:rPr>
                <w:rFonts w:hint="default" w:ascii="宋体" w:hAnsi="宋体" w:cs="宋体"/>
                <w:color w:val="000000"/>
                <w:kern w:val="0"/>
                <w:sz w:val="22"/>
                <w:szCs w:val="22"/>
              </w:rPr>
            </w:pPr>
            <w:r>
              <w:rPr>
                <w:rFonts w:hint="eastAsia" w:ascii="宋体" w:hAnsi="宋体" w:cs="宋体"/>
                <w:color w:val="000000"/>
                <w:kern w:val="0"/>
                <w:sz w:val="22"/>
                <w:szCs w:val="22"/>
              </w:rPr>
              <w:t>操作箱体</w:t>
            </w:r>
          </w:p>
        </w:tc>
        <w:tc>
          <w:tcPr>
            <w:tcW w:w="439" w:type="pct"/>
            <w:tcBorders>
              <w:top w:val="nil"/>
              <w:left w:val="nil"/>
              <w:bottom w:val="single" w:color="auto" w:sz="4" w:space="0"/>
              <w:right w:val="single" w:color="auto" w:sz="4" w:space="0"/>
              <w:tl2br w:val="nil"/>
              <w:tr2bl w:val="nil"/>
            </w:tcBorders>
            <w:noWrap/>
            <w:vAlign w:val="center"/>
          </w:tcPr>
          <w:p w14:paraId="6D3DEC70">
            <w:pPr>
              <w:widowControl/>
              <w:spacing w:beforeLines="0" w:afterLines="0"/>
              <w:jc w:val="center"/>
              <w:rPr>
                <w:rFonts w:hint="default" w:ascii="宋体" w:hAnsi="宋体" w:cs="宋体"/>
                <w:color w:val="000000"/>
                <w:kern w:val="0"/>
                <w:sz w:val="22"/>
                <w:szCs w:val="22"/>
              </w:rPr>
            </w:pPr>
            <w:r>
              <w:rPr>
                <w:rFonts w:hint="eastAsia" w:ascii="宋体" w:hAnsi="宋体" w:cs="宋体"/>
                <w:color w:val="000000"/>
                <w:kern w:val="0"/>
                <w:sz w:val="22"/>
                <w:szCs w:val="22"/>
              </w:rPr>
              <w:t>闫腾飞</w:t>
            </w:r>
          </w:p>
        </w:tc>
        <w:tc>
          <w:tcPr>
            <w:tcW w:w="2702" w:type="pct"/>
            <w:tcBorders>
              <w:top w:val="nil"/>
              <w:left w:val="nil"/>
              <w:bottom w:val="single" w:color="auto" w:sz="4" w:space="0"/>
              <w:right w:val="single" w:color="auto" w:sz="4" w:space="0"/>
              <w:tl2br w:val="nil"/>
              <w:tr2bl w:val="nil"/>
            </w:tcBorders>
            <w:noWrap/>
            <w:vAlign w:val="center"/>
          </w:tcPr>
          <w:p w14:paraId="4FDB49DC">
            <w:pPr>
              <w:widowControl/>
              <w:spacing w:beforeLines="0" w:afterLines="0"/>
              <w:jc w:val="center"/>
              <w:rPr>
                <w:rFonts w:hint="default" w:ascii="宋体" w:hAnsi="宋体" w:cs="宋体"/>
                <w:color w:val="000000"/>
                <w:kern w:val="0"/>
                <w:sz w:val="22"/>
                <w:szCs w:val="22"/>
              </w:rPr>
            </w:pPr>
            <w:r>
              <w:rPr>
                <w:rFonts w:hint="eastAsia" w:ascii="宋体" w:hAnsi="宋体" w:cs="宋体"/>
                <w:color w:val="000000"/>
                <w:kern w:val="0"/>
                <w:sz w:val="22"/>
                <w:szCs w:val="22"/>
              </w:rPr>
              <w:t>包含所有钻架操作箱及其防护顶棚结构；与支撑平台设计师对接</w:t>
            </w:r>
          </w:p>
        </w:tc>
        <w:tc>
          <w:tcPr>
            <w:tcW w:w="548" w:type="pct"/>
            <w:tcBorders>
              <w:top w:val="nil"/>
              <w:left w:val="nil"/>
              <w:bottom w:val="single" w:color="auto" w:sz="4" w:space="0"/>
              <w:right w:val="single" w:color="auto" w:sz="4" w:space="0"/>
              <w:tl2br w:val="nil"/>
              <w:tr2bl w:val="nil"/>
            </w:tcBorders>
            <w:noWrap/>
            <w:vAlign w:val="center"/>
          </w:tcPr>
          <w:p w14:paraId="7222DE3F">
            <w:pPr>
              <w:widowControl/>
              <w:spacing w:beforeLines="0" w:afterLines="0"/>
              <w:jc w:val="center"/>
              <w:rPr>
                <w:rFonts w:hint="default" w:ascii="宋体" w:hAnsi="宋体" w:cs="宋体"/>
                <w:color w:val="000000"/>
                <w:kern w:val="0"/>
                <w:sz w:val="22"/>
                <w:szCs w:val="22"/>
              </w:rPr>
            </w:pPr>
            <w:r>
              <w:rPr>
                <w:rFonts w:hint="eastAsia" w:ascii="宋体" w:hAnsi="宋体" w:cs="宋体"/>
                <w:color w:val="000000"/>
                <w:kern w:val="0"/>
                <w:sz w:val="22"/>
                <w:szCs w:val="22"/>
              </w:rPr>
              <w:t>3月15日</w:t>
            </w:r>
          </w:p>
        </w:tc>
        <w:tc>
          <w:tcPr>
            <w:tcW w:w="705" w:type="pct"/>
            <w:tcBorders>
              <w:top w:val="nil"/>
              <w:left w:val="nil"/>
              <w:bottom w:val="single" w:color="auto" w:sz="4" w:space="0"/>
              <w:right w:val="single" w:color="auto" w:sz="4" w:space="0"/>
              <w:tl2br w:val="nil"/>
              <w:tr2bl w:val="nil"/>
            </w:tcBorders>
            <w:noWrap/>
            <w:vAlign w:val="center"/>
          </w:tcPr>
          <w:p w14:paraId="3F4EA615">
            <w:pPr>
              <w:widowControl/>
              <w:spacing w:beforeLines="0" w:afterLines="0"/>
              <w:jc w:val="center"/>
              <w:rPr>
                <w:rFonts w:hint="default" w:ascii="宋体" w:hAnsi="宋体" w:cs="宋体"/>
                <w:color w:val="000000"/>
                <w:kern w:val="0"/>
                <w:sz w:val="22"/>
                <w:szCs w:val="22"/>
              </w:rPr>
            </w:pPr>
            <w:r>
              <w:rPr>
                <w:rFonts w:hint="eastAsia" w:ascii="宋体" w:hAnsi="宋体" w:cs="宋体"/>
                <w:color w:val="000000"/>
                <w:kern w:val="0"/>
                <w:sz w:val="22"/>
                <w:szCs w:val="22"/>
              </w:rPr>
              <w:t>4月15日</w:t>
            </w:r>
          </w:p>
        </w:tc>
      </w:tr>
      <w:tr w14:paraId="124C1D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wBefore w:w="0" w:type="auto"/>
          <w:trHeight w:val="270" w:hRule="atLeast"/>
        </w:trPr>
        <w:tc>
          <w:tcPr>
            <w:tcW w:w="234" w:type="pct"/>
            <w:tcBorders>
              <w:top w:val="nil"/>
              <w:left w:val="single" w:color="auto" w:sz="4" w:space="0"/>
              <w:bottom w:val="single" w:color="auto" w:sz="4" w:space="0"/>
              <w:right w:val="single" w:color="auto" w:sz="4" w:space="0"/>
              <w:tl2br w:val="nil"/>
              <w:tr2bl w:val="nil"/>
            </w:tcBorders>
            <w:noWrap/>
            <w:vAlign w:val="center"/>
          </w:tcPr>
          <w:p w14:paraId="2EFF0333">
            <w:pPr>
              <w:widowControl/>
              <w:spacing w:beforeLines="0" w:afterLines="0"/>
              <w:jc w:val="center"/>
              <w:rPr>
                <w:rFonts w:hint="default" w:ascii="宋体" w:hAnsi="宋体" w:cs="宋体"/>
                <w:color w:val="000000"/>
                <w:kern w:val="0"/>
                <w:sz w:val="22"/>
                <w:szCs w:val="22"/>
              </w:rPr>
            </w:pPr>
            <w:r>
              <w:rPr>
                <w:rFonts w:hint="eastAsia" w:ascii="宋体" w:hAnsi="宋体" w:cs="宋体"/>
                <w:color w:val="000000"/>
                <w:kern w:val="0"/>
                <w:sz w:val="22"/>
                <w:szCs w:val="22"/>
              </w:rPr>
              <w:t>14</w:t>
            </w:r>
          </w:p>
        </w:tc>
        <w:tc>
          <w:tcPr>
            <w:tcW w:w="370" w:type="pct"/>
            <w:tcBorders>
              <w:top w:val="nil"/>
              <w:left w:val="nil"/>
              <w:bottom w:val="single" w:color="auto" w:sz="4" w:space="0"/>
              <w:right w:val="single" w:color="auto" w:sz="4" w:space="0"/>
              <w:tl2br w:val="nil"/>
              <w:tr2bl w:val="nil"/>
            </w:tcBorders>
            <w:noWrap/>
            <w:vAlign w:val="center"/>
          </w:tcPr>
          <w:p w14:paraId="222C7EF2">
            <w:pPr>
              <w:widowControl/>
              <w:spacing w:beforeLines="0" w:afterLines="0"/>
              <w:jc w:val="center"/>
              <w:rPr>
                <w:rFonts w:hint="default" w:ascii="宋体" w:hAnsi="宋体" w:cs="宋体"/>
                <w:color w:val="000000"/>
                <w:kern w:val="0"/>
                <w:sz w:val="22"/>
                <w:szCs w:val="22"/>
              </w:rPr>
            </w:pPr>
            <w:r>
              <w:rPr>
                <w:rFonts w:hint="eastAsia" w:ascii="宋体" w:hAnsi="宋体" w:cs="宋体"/>
                <w:color w:val="000000"/>
                <w:kern w:val="0"/>
                <w:sz w:val="22"/>
                <w:szCs w:val="22"/>
              </w:rPr>
              <w:t>液压系统</w:t>
            </w:r>
          </w:p>
        </w:tc>
        <w:tc>
          <w:tcPr>
            <w:tcW w:w="439" w:type="pct"/>
            <w:tcBorders>
              <w:top w:val="nil"/>
              <w:left w:val="nil"/>
              <w:bottom w:val="single" w:color="auto" w:sz="4" w:space="0"/>
              <w:right w:val="single" w:color="auto" w:sz="4" w:space="0"/>
              <w:tl2br w:val="nil"/>
              <w:tr2bl w:val="nil"/>
            </w:tcBorders>
            <w:noWrap/>
            <w:vAlign w:val="center"/>
          </w:tcPr>
          <w:p w14:paraId="449CD01C">
            <w:pPr>
              <w:widowControl/>
              <w:spacing w:beforeLines="0" w:afterLines="0"/>
              <w:jc w:val="center"/>
              <w:rPr>
                <w:rFonts w:hint="default" w:ascii="宋体" w:hAnsi="宋体" w:cs="宋体"/>
                <w:color w:val="000000"/>
                <w:kern w:val="0"/>
                <w:sz w:val="22"/>
                <w:szCs w:val="22"/>
              </w:rPr>
            </w:pPr>
            <w:r>
              <w:rPr>
                <w:rFonts w:hint="eastAsia" w:ascii="宋体" w:hAnsi="宋体" w:cs="宋体"/>
                <w:color w:val="000000"/>
                <w:kern w:val="0"/>
                <w:sz w:val="22"/>
                <w:szCs w:val="22"/>
              </w:rPr>
              <w:t>液压工程师</w:t>
            </w:r>
          </w:p>
        </w:tc>
        <w:tc>
          <w:tcPr>
            <w:tcW w:w="2702" w:type="pct"/>
            <w:tcBorders>
              <w:top w:val="nil"/>
              <w:left w:val="nil"/>
              <w:bottom w:val="single" w:color="auto" w:sz="4" w:space="0"/>
              <w:right w:val="single" w:color="auto" w:sz="4" w:space="0"/>
              <w:tl2br w:val="nil"/>
              <w:tr2bl w:val="nil"/>
            </w:tcBorders>
            <w:noWrap/>
            <w:vAlign w:val="center"/>
          </w:tcPr>
          <w:p w14:paraId="63634D23">
            <w:pPr>
              <w:widowControl/>
              <w:spacing w:beforeLines="0" w:afterLines="0"/>
              <w:jc w:val="center"/>
              <w:rPr>
                <w:rFonts w:hint="default" w:ascii="宋体" w:hAnsi="宋体" w:cs="宋体"/>
                <w:color w:val="000000"/>
                <w:kern w:val="0"/>
                <w:sz w:val="22"/>
                <w:szCs w:val="22"/>
              </w:rPr>
            </w:pPr>
            <w:r>
              <w:rPr>
                <w:rFonts w:hint="eastAsia" w:ascii="宋体" w:hAnsi="宋体" w:cs="宋体"/>
                <w:color w:val="000000"/>
                <w:kern w:val="0"/>
                <w:sz w:val="22"/>
                <w:szCs w:val="22"/>
              </w:rPr>
              <w:t>根据功能及外形需求完成液压系统设计</w:t>
            </w:r>
          </w:p>
        </w:tc>
        <w:tc>
          <w:tcPr>
            <w:tcW w:w="548" w:type="pct"/>
            <w:tcBorders>
              <w:top w:val="nil"/>
              <w:left w:val="nil"/>
              <w:bottom w:val="single" w:color="auto" w:sz="4" w:space="0"/>
              <w:right w:val="single" w:color="auto" w:sz="4" w:space="0"/>
              <w:tl2br w:val="nil"/>
              <w:tr2bl w:val="nil"/>
            </w:tcBorders>
            <w:noWrap/>
            <w:vAlign w:val="center"/>
          </w:tcPr>
          <w:p w14:paraId="1AB1CBA8">
            <w:pPr>
              <w:widowControl/>
              <w:spacing w:beforeLines="0" w:afterLines="0"/>
              <w:jc w:val="center"/>
              <w:rPr>
                <w:rFonts w:hint="default" w:ascii="宋体" w:hAnsi="宋体" w:cs="宋体"/>
                <w:color w:val="000000"/>
                <w:kern w:val="0"/>
                <w:sz w:val="22"/>
                <w:szCs w:val="22"/>
              </w:rPr>
            </w:pPr>
            <w:r>
              <w:rPr>
                <w:rFonts w:hint="eastAsia" w:ascii="宋体" w:hAnsi="宋体" w:cs="宋体"/>
                <w:color w:val="000000"/>
                <w:kern w:val="0"/>
                <w:sz w:val="22"/>
                <w:szCs w:val="22"/>
              </w:rPr>
              <w:t>3月10日</w:t>
            </w:r>
          </w:p>
        </w:tc>
        <w:tc>
          <w:tcPr>
            <w:tcW w:w="705" w:type="pct"/>
            <w:tcBorders>
              <w:top w:val="nil"/>
              <w:left w:val="nil"/>
              <w:bottom w:val="single" w:color="auto" w:sz="4" w:space="0"/>
              <w:right w:val="single" w:color="auto" w:sz="4" w:space="0"/>
              <w:tl2br w:val="nil"/>
              <w:tr2bl w:val="nil"/>
            </w:tcBorders>
            <w:noWrap/>
            <w:vAlign w:val="center"/>
          </w:tcPr>
          <w:p w14:paraId="34ED5E5D">
            <w:pPr>
              <w:widowControl/>
              <w:spacing w:beforeLines="0" w:afterLines="0"/>
              <w:jc w:val="center"/>
              <w:rPr>
                <w:rFonts w:hint="default" w:ascii="宋体" w:hAnsi="宋体" w:cs="宋体"/>
                <w:color w:val="000000"/>
                <w:kern w:val="0"/>
                <w:sz w:val="22"/>
                <w:szCs w:val="22"/>
              </w:rPr>
            </w:pPr>
            <w:r>
              <w:rPr>
                <w:rFonts w:hint="eastAsia" w:ascii="宋体" w:hAnsi="宋体" w:cs="宋体"/>
                <w:color w:val="000000"/>
                <w:kern w:val="0"/>
                <w:sz w:val="22"/>
                <w:szCs w:val="22"/>
              </w:rPr>
              <w:t>4月10日</w:t>
            </w:r>
          </w:p>
        </w:tc>
      </w:tr>
      <w:tr w14:paraId="655615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wBefore w:w="0" w:type="auto"/>
          <w:trHeight w:val="270" w:hRule="atLeast"/>
        </w:trPr>
        <w:tc>
          <w:tcPr>
            <w:tcW w:w="234" w:type="pct"/>
            <w:tcBorders>
              <w:top w:val="nil"/>
              <w:left w:val="single" w:color="auto" w:sz="4" w:space="0"/>
              <w:bottom w:val="single" w:color="auto" w:sz="4" w:space="0"/>
              <w:right w:val="single" w:color="auto" w:sz="4" w:space="0"/>
              <w:tl2br w:val="nil"/>
              <w:tr2bl w:val="nil"/>
            </w:tcBorders>
            <w:noWrap/>
            <w:vAlign w:val="center"/>
          </w:tcPr>
          <w:p w14:paraId="2EEE0654">
            <w:pPr>
              <w:widowControl/>
              <w:spacing w:beforeLines="0" w:afterLines="0"/>
              <w:jc w:val="center"/>
              <w:rPr>
                <w:rFonts w:hint="default" w:ascii="宋体" w:hAnsi="宋体" w:cs="宋体"/>
                <w:color w:val="000000"/>
                <w:kern w:val="0"/>
                <w:sz w:val="22"/>
                <w:szCs w:val="22"/>
              </w:rPr>
            </w:pPr>
            <w:r>
              <w:rPr>
                <w:rFonts w:hint="eastAsia" w:ascii="宋体" w:hAnsi="宋体" w:cs="宋体"/>
                <w:color w:val="000000"/>
                <w:kern w:val="0"/>
                <w:sz w:val="22"/>
                <w:szCs w:val="22"/>
              </w:rPr>
              <w:t>15</w:t>
            </w:r>
          </w:p>
        </w:tc>
        <w:tc>
          <w:tcPr>
            <w:tcW w:w="370" w:type="pct"/>
            <w:tcBorders>
              <w:top w:val="nil"/>
              <w:left w:val="nil"/>
              <w:bottom w:val="single" w:color="auto" w:sz="4" w:space="0"/>
              <w:right w:val="single" w:color="auto" w:sz="4" w:space="0"/>
              <w:tl2br w:val="nil"/>
              <w:tr2bl w:val="nil"/>
            </w:tcBorders>
            <w:noWrap/>
            <w:vAlign w:val="center"/>
          </w:tcPr>
          <w:p w14:paraId="298B5F41">
            <w:pPr>
              <w:widowControl/>
              <w:spacing w:beforeLines="0" w:afterLines="0"/>
              <w:jc w:val="center"/>
              <w:rPr>
                <w:rFonts w:hint="default" w:ascii="宋体" w:hAnsi="宋体" w:cs="宋体"/>
                <w:color w:val="000000"/>
                <w:kern w:val="0"/>
                <w:sz w:val="22"/>
                <w:szCs w:val="22"/>
              </w:rPr>
            </w:pPr>
            <w:r>
              <w:rPr>
                <w:rFonts w:hint="eastAsia" w:ascii="宋体" w:hAnsi="宋体" w:cs="宋体"/>
                <w:color w:val="000000"/>
                <w:kern w:val="0"/>
                <w:sz w:val="22"/>
                <w:szCs w:val="22"/>
              </w:rPr>
              <w:t>水系统</w:t>
            </w:r>
          </w:p>
        </w:tc>
        <w:tc>
          <w:tcPr>
            <w:tcW w:w="439" w:type="pct"/>
            <w:tcBorders>
              <w:top w:val="nil"/>
              <w:left w:val="nil"/>
              <w:bottom w:val="single" w:color="auto" w:sz="4" w:space="0"/>
              <w:right w:val="single" w:color="auto" w:sz="4" w:space="0"/>
              <w:tl2br w:val="nil"/>
              <w:tr2bl w:val="nil"/>
            </w:tcBorders>
            <w:noWrap/>
            <w:vAlign w:val="center"/>
          </w:tcPr>
          <w:p w14:paraId="2471308C">
            <w:pPr>
              <w:widowControl/>
              <w:spacing w:beforeLines="0" w:afterLines="0"/>
              <w:jc w:val="center"/>
              <w:rPr>
                <w:rFonts w:hint="default" w:ascii="宋体" w:hAnsi="宋体" w:cs="宋体"/>
                <w:color w:val="000000"/>
                <w:kern w:val="0"/>
                <w:sz w:val="22"/>
                <w:szCs w:val="22"/>
              </w:rPr>
            </w:pPr>
            <w:r>
              <w:rPr>
                <w:rFonts w:hint="eastAsia" w:ascii="宋体" w:hAnsi="宋体" w:cs="宋体"/>
                <w:color w:val="000000"/>
                <w:kern w:val="0"/>
                <w:sz w:val="22"/>
                <w:szCs w:val="22"/>
              </w:rPr>
              <w:t>液压工程师2</w:t>
            </w:r>
          </w:p>
        </w:tc>
        <w:tc>
          <w:tcPr>
            <w:tcW w:w="2702" w:type="pct"/>
            <w:tcBorders>
              <w:top w:val="nil"/>
              <w:left w:val="nil"/>
              <w:bottom w:val="single" w:color="auto" w:sz="4" w:space="0"/>
              <w:right w:val="single" w:color="auto" w:sz="4" w:space="0"/>
              <w:tl2br w:val="nil"/>
              <w:tr2bl w:val="nil"/>
            </w:tcBorders>
            <w:noWrap/>
            <w:vAlign w:val="center"/>
          </w:tcPr>
          <w:p w14:paraId="737EB19B">
            <w:pPr>
              <w:widowControl/>
              <w:spacing w:beforeLines="0" w:afterLines="0"/>
              <w:jc w:val="center"/>
              <w:rPr>
                <w:rFonts w:hint="default" w:ascii="宋体" w:hAnsi="宋体" w:cs="宋体"/>
                <w:color w:val="000000"/>
                <w:kern w:val="0"/>
                <w:sz w:val="22"/>
                <w:szCs w:val="22"/>
              </w:rPr>
            </w:pPr>
            <w:r>
              <w:rPr>
                <w:rFonts w:hint="eastAsia" w:ascii="宋体" w:hAnsi="宋体" w:cs="宋体"/>
                <w:color w:val="000000"/>
                <w:kern w:val="0"/>
                <w:sz w:val="22"/>
                <w:szCs w:val="22"/>
              </w:rPr>
              <w:t>根据功能及外形需求完成水系统设计</w:t>
            </w:r>
          </w:p>
        </w:tc>
        <w:tc>
          <w:tcPr>
            <w:tcW w:w="548" w:type="pct"/>
            <w:tcBorders>
              <w:top w:val="nil"/>
              <w:left w:val="nil"/>
              <w:bottom w:val="single" w:color="auto" w:sz="4" w:space="0"/>
              <w:right w:val="single" w:color="auto" w:sz="4" w:space="0"/>
              <w:tl2br w:val="nil"/>
              <w:tr2bl w:val="nil"/>
            </w:tcBorders>
            <w:noWrap/>
            <w:vAlign w:val="center"/>
          </w:tcPr>
          <w:p w14:paraId="703848D4">
            <w:pPr>
              <w:widowControl/>
              <w:spacing w:beforeLines="0" w:afterLines="0"/>
              <w:jc w:val="center"/>
              <w:rPr>
                <w:rFonts w:hint="default" w:ascii="宋体" w:hAnsi="宋体" w:cs="宋体"/>
                <w:color w:val="000000"/>
                <w:kern w:val="0"/>
                <w:sz w:val="22"/>
                <w:szCs w:val="22"/>
              </w:rPr>
            </w:pPr>
            <w:r>
              <w:rPr>
                <w:rFonts w:hint="eastAsia" w:ascii="宋体" w:hAnsi="宋体" w:cs="宋体"/>
                <w:color w:val="000000"/>
                <w:kern w:val="0"/>
                <w:sz w:val="22"/>
                <w:szCs w:val="22"/>
              </w:rPr>
              <w:t>3月10日</w:t>
            </w:r>
          </w:p>
        </w:tc>
        <w:tc>
          <w:tcPr>
            <w:tcW w:w="705" w:type="pct"/>
            <w:tcBorders>
              <w:top w:val="nil"/>
              <w:left w:val="nil"/>
              <w:bottom w:val="single" w:color="auto" w:sz="4" w:space="0"/>
              <w:right w:val="single" w:color="auto" w:sz="4" w:space="0"/>
              <w:tl2br w:val="nil"/>
              <w:tr2bl w:val="nil"/>
            </w:tcBorders>
            <w:noWrap/>
            <w:vAlign w:val="center"/>
          </w:tcPr>
          <w:p w14:paraId="5BDAA80A">
            <w:pPr>
              <w:widowControl/>
              <w:spacing w:beforeLines="0" w:afterLines="0"/>
              <w:jc w:val="center"/>
              <w:rPr>
                <w:rFonts w:hint="default" w:ascii="宋体" w:hAnsi="宋体" w:cs="宋体"/>
                <w:color w:val="000000"/>
                <w:kern w:val="0"/>
                <w:sz w:val="22"/>
                <w:szCs w:val="22"/>
              </w:rPr>
            </w:pPr>
            <w:r>
              <w:rPr>
                <w:rFonts w:hint="eastAsia" w:ascii="宋体" w:hAnsi="宋体" w:cs="宋体"/>
                <w:color w:val="000000"/>
                <w:kern w:val="0"/>
                <w:sz w:val="22"/>
                <w:szCs w:val="22"/>
              </w:rPr>
              <w:t>4月10日</w:t>
            </w:r>
          </w:p>
        </w:tc>
      </w:tr>
      <w:tr w14:paraId="072E8C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wBefore w:w="0" w:type="auto"/>
          <w:trHeight w:val="270" w:hRule="atLeast"/>
        </w:trPr>
        <w:tc>
          <w:tcPr>
            <w:tcW w:w="234" w:type="pct"/>
            <w:tcBorders>
              <w:top w:val="nil"/>
              <w:left w:val="single" w:color="auto" w:sz="4" w:space="0"/>
              <w:bottom w:val="single" w:color="auto" w:sz="4" w:space="0"/>
              <w:right w:val="single" w:color="auto" w:sz="4" w:space="0"/>
              <w:tl2br w:val="nil"/>
              <w:tr2bl w:val="nil"/>
            </w:tcBorders>
            <w:noWrap/>
            <w:vAlign w:val="center"/>
          </w:tcPr>
          <w:p w14:paraId="37A32031">
            <w:pPr>
              <w:widowControl/>
              <w:spacing w:beforeLines="0" w:afterLines="0"/>
              <w:jc w:val="center"/>
              <w:rPr>
                <w:rFonts w:hint="default" w:ascii="宋体" w:hAnsi="宋体" w:cs="宋体"/>
                <w:color w:val="000000"/>
                <w:kern w:val="0"/>
                <w:sz w:val="22"/>
                <w:szCs w:val="22"/>
              </w:rPr>
            </w:pPr>
            <w:r>
              <w:rPr>
                <w:rFonts w:hint="eastAsia" w:ascii="宋体" w:hAnsi="宋体" w:cs="宋体"/>
                <w:color w:val="000000"/>
                <w:kern w:val="0"/>
                <w:sz w:val="22"/>
                <w:szCs w:val="22"/>
              </w:rPr>
              <w:t>16</w:t>
            </w:r>
          </w:p>
        </w:tc>
        <w:tc>
          <w:tcPr>
            <w:tcW w:w="370" w:type="pct"/>
            <w:tcBorders>
              <w:top w:val="nil"/>
              <w:left w:val="nil"/>
              <w:bottom w:val="single" w:color="auto" w:sz="4" w:space="0"/>
              <w:right w:val="single" w:color="auto" w:sz="4" w:space="0"/>
              <w:tl2br w:val="nil"/>
              <w:tr2bl w:val="nil"/>
            </w:tcBorders>
            <w:noWrap/>
            <w:vAlign w:val="center"/>
          </w:tcPr>
          <w:p w14:paraId="0E6F5D08">
            <w:pPr>
              <w:widowControl/>
              <w:spacing w:beforeLines="0" w:afterLines="0"/>
              <w:jc w:val="center"/>
              <w:rPr>
                <w:rFonts w:hint="default" w:ascii="宋体" w:hAnsi="宋体" w:cs="宋体"/>
                <w:color w:val="000000"/>
                <w:kern w:val="0"/>
                <w:sz w:val="22"/>
                <w:szCs w:val="22"/>
              </w:rPr>
            </w:pPr>
            <w:r>
              <w:rPr>
                <w:rFonts w:hint="eastAsia" w:ascii="宋体" w:hAnsi="宋体" w:cs="宋体"/>
                <w:color w:val="000000"/>
                <w:kern w:val="0"/>
                <w:sz w:val="22"/>
                <w:szCs w:val="22"/>
              </w:rPr>
              <w:t>润滑系统</w:t>
            </w:r>
          </w:p>
        </w:tc>
        <w:tc>
          <w:tcPr>
            <w:tcW w:w="439" w:type="pct"/>
            <w:tcBorders>
              <w:top w:val="nil"/>
              <w:left w:val="nil"/>
              <w:bottom w:val="single" w:color="auto" w:sz="4" w:space="0"/>
              <w:right w:val="single" w:color="auto" w:sz="4" w:space="0"/>
              <w:tl2br w:val="nil"/>
              <w:tr2bl w:val="nil"/>
            </w:tcBorders>
            <w:noWrap/>
            <w:vAlign w:val="center"/>
          </w:tcPr>
          <w:p w14:paraId="46AEC8CB">
            <w:pPr>
              <w:widowControl/>
              <w:spacing w:beforeLines="0" w:afterLines="0"/>
              <w:jc w:val="center"/>
              <w:rPr>
                <w:rFonts w:hint="default" w:ascii="宋体" w:hAnsi="宋体" w:cs="宋体"/>
                <w:color w:val="000000"/>
                <w:kern w:val="0"/>
                <w:sz w:val="22"/>
                <w:szCs w:val="22"/>
              </w:rPr>
            </w:pPr>
            <w:r>
              <w:rPr>
                <w:rFonts w:hint="eastAsia" w:ascii="宋体" w:hAnsi="宋体" w:cs="宋体"/>
                <w:color w:val="000000"/>
                <w:kern w:val="0"/>
                <w:sz w:val="22"/>
                <w:szCs w:val="22"/>
              </w:rPr>
              <w:t>液压工程师2</w:t>
            </w:r>
          </w:p>
        </w:tc>
        <w:tc>
          <w:tcPr>
            <w:tcW w:w="2702" w:type="pct"/>
            <w:tcBorders>
              <w:top w:val="nil"/>
              <w:left w:val="nil"/>
              <w:bottom w:val="single" w:color="auto" w:sz="4" w:space="0"/>
              <w:right w:val="single" w:color="auto" w:sz="4" w:space="0"/>
              <w:tl2br w:val="nil"/>
              <w:tr2bl w:val="nil"/>
            </w:tcBorders>
            <w:noWrap/>
            <w:vAlign w:val="center"/>
          </w:tcPr>
          <w:p w14:paraId="1393455F">
            <w:pPr>
              <w:widowControl/>
              <w:spacing w:beforeLines="0" w:afterLines="0"/>
              <w:jc w:val="center"/>
              <w:rPr>
                <w:rFonts w:hint="default" w:ascii="宋体" w:hAnsi="宋体" w:cs="宋体"/>
                <w:color w:val="000000"/>
                <w:kern w:val="0"/>
                <w:sz w:val="22"/>
                <w:szCs w:val="22"/>
              </w:rPr>
            </w:pPr>
            <w:r>
              <w:rPr>
                <w:rFonts w:hint="eastAsia" w:ascii="宋体" w:hAnsi="宋体" w:cs="宋体"/>
                <w:color w:val="000000"/>
                <w:kern w:val="0"/>
                <w:sz w:val="22"/>
                <w:szCs w:val="22"/>
              </w:rPr>
              <w:t>根据功能及外形需求完成润滑系统设计</w:t>
            </w:r>
          </w:p>
        </w:tc>
        <w:tc>
          <w:tcPr>
            <w:tcW w:w="548" w:type="pct"/>
            <w:tcBorders>
              <w:top w:val="nil"/>
              <w:left w:val="nil"/>
              <w:bottom w:val="single" w:color="auto" w:sz="4" w:space="0"/>
              <w:right w:val="single" w:color="auto" w:sz="4" w:space="0"/>
              <w:tl2br w:val="nil"/>
              <w:tr2bl w:val="nil"/>
            </w:tcBorders>
            <w:noWrap/>
            <w:vAlign w:val="center"/>
          </w:tcPr>
          <w:p w14:paraId="33300974">
            <w:pPr>
              <w:widowControl/>
              <w:spacing w:beforeLines="0" w:afterLines="0"/>
              <w:jc w:val="center"/>
              <w:rPr>
                <w:rFonts w:hint="default" w:ascii="宋体" w:hAnsi="宋体" w:cs="宋体"/>
                <w:color w:val="000000"/>
                <w:kern w:val="0"/>
                <w:sz w:val="22"/>
                <w:szCs w:val="22"/>
              </w:rPr>
            </w:pPr>
            <w:r>
              <w:rPr>
                <w:rFonts w:hint="eastAsia" w:ascii="宋体" w:hAnsi="宋体" w:cs="宋体"/>
                <w:color w:val="000000"/>
                <w:kern w:val="0"/>
                <w:sz w:val="22"/>
                <w:szCs w:val="22"/>
              </w:rPr>
              <w:t>3月10日</w:t>
            </w:r>
          </w:p>
        </w:tc>
        <w:tc>
          <w:tcPr>
            <w:tcW w:w="705" w:type="pct"/>
            <w:tcBorders>
              <w:top w:val="nil"/>
              <w:left w:val="nil"/>
              <w:bottom w:val="single" w:color="auto" w:sz="4" w:space="0"/>
              <w:right w:val="single" w:color="auto" w:sz="4" w:space="0"/>
              <w:tl2br w:val="nil"/>
              <w:tr2bl w:val="nil"/>
            </w:tcBorders>
            <w:noWrap/>
            <w:vAlign w:val="center"/>
          </w:tcPr>
          <w:p w14:paraId="674BB160">
            <w:pPr>
              <w:widowControl/>
              <w:spacing w:beforeLines="0" w:afterLines="0"/>
              <w:jc w:val="center"/>
              <w:rPr>
                <w:rFonts w:hint="default" w:ascii="宋体" w:hAnsi="宋体" w:cs="宋体"/>
                <w:color w:val="000000"/>
                <w:kern w:val="0"/>
                <w:sz w:val="22"/>
                <w:szCs w:val="22"/>
              </w:rPr>
            </w:pPr>
            <w:r>
              <w:rPr>
                <w:rFonts w:hint="eastAsia" w:ascii="宋体" w:hAnsi="宋体" w:cs="宋体"/>
                <w:color w:val="000000"/>
                <w:kern w:val="0"/>
                <w:sz w:val="22"/>
                <w:szCs w:val="22"/>
              </w:rPr>
              <w:t>4月15日</w:t>
            </w:r>
          </w:p>
        </w:tc>
      </w:tr>
      <w:tr w14:paraId="1BA1F5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wBefore w:w="0" w:type="auto"/>
          <w:trHeight w:val="270" w:hRule="atLeast"/>
        </w:trPr>
        <w:tc>
          <w:tcPr>
            <w:tcW w:w="234" w:type="pct"/>
            <w:tcBorders>
              <w:top w:val="nil"/>
              <w:left w:val="single" w:color="auto" w:sz="4" w:space="0"/>
              <w:bottom w:val="single" w:color="auto" w:sz="4" w:space="0"/>
              <w:right w:val="single" w:color="auto" w:sz="4" w:space="0"/>
              <w:tl2br w:val="nil"/>
              <w:tr2bl w:val="nil"/>
            </w:tcBorders>
            <w:noWrap/>
            <w:vAlign w:val="center"/>
          </w:tcPr>
          <w:p w14:paraId="6926D8A9">
            <w:pPr>
              <w:widowControl/>
              <w:spacing w:beforeLines="0" w:afterLines="0"/>
              <w:jc w:val="center"/>
              <w:rPr>
                <w:rFonts w:hint="default" w:ascii="宋体" w:hAnsi="宋体" w:cs="宋体"/>
                <w:color w:val="000000"/>
                <w:kern w:val="0"/>
                <w:sz w:val="22"/>
                <w:szCs w:val="22"/>
              </w:rPr>
            </w:pPr>
            <w:r>
              <w:rPr>
                <w:rFonts w:hint="eastAsia" w:ascii="宋体" w:hAnsi="宋体" w:cs="宋体"/>
                <w:color w:val="000000"/>
                <w:kern w:val="0"/>
                <w:sz w:val="22"/>
                <w:szCs w:val="22"/>
              </w:rPr>
              <w:t>17</w:t>
            </w:r>
          </w:p>
        </w:tc>
        <w:tc>
          <w:tcPr>
            <w:tcW w:w="370" w:type="pct"/>
            <w:tcBorders>
              <w:top w:val="nil"/>
              <w:left w:val="nil"/>
              <w:bottom w:val="single" w:color="auto" w:sz="4" w:space="0"/>
              <w:right w:val="single" w:color="auto" w:sz="4" w:space="0"/>
              <w:tl2br w:val="nil"/>
              <w:tr2bl w:val="nil"/>
            </w:tcBorders>
            <w:noWrap/>
            <w:vAlign w:val="center"/>
          </w:tcPr>
          <w:p w14:paraId="4977F2D4">
            <w:pPr>
              <w:widowControl/>
              <w:spacing w:beforeLines="0" w:afterLines="0"/>
              <w:jc w:val="center"/>
              <w:rPr>
                <w:rFonts w:hint="default" w:ascii="宋体" w:hAnsi="宋体" w:cs="宋体"/>
                <w:color w:val="000000"/>
                <w:kern w:val="0"/>
                <w:sz w:val="22"/>
                <w:szCs w:val="22"/>
              </w:rPr>
            </w:pPr>
            <w:r>
              <w:rPr>
                <w:rFonts w:hint="eastAsia" w:ascii="宋体" w:hAnsi="宋体" w:cs="宋体"/>
                <w:color w:val="000000"/>
                <w:kern w:val="0"/>
                <w:sz w:val="22"/>
                <w:szCs w:val="22"/>
              </w:rPr>
              <w:t>电气系统</w:t>
            </w:r>
          </w:p>
        </w:tc>
        <w:tc>
          <w:tcPr>
            <w:tcW w:w="439" w:type="pct"/>
            <w:tcBorders>
              <w:top w:val="nil"/>
              <w:left w:val="nil"/>
              <w:bottom w:val="single" w:color="auto" w:sz="4" w:space="0"/>
              <w:right w:val="single" w:color="auto" w:sz="4" w:space="0"/>
              <w:tl2br w:val="nil"/>
              <w:tr2bl w:val="nil"/>
            </w:tcBorders>
            <w:noWrap/>
            <w:vAlign w:val="center"/>
          </w:tcPr>
          <w:p w14:paraId="76635CDD">
            <w:pPr>
              <w:widowControl/>
              <w:spacing w:beforeLines="0" w:afterLines="0"/>
              <w:jc w:val="center"/>
              <w:rPr>
                <w:rFonts w:hint="default" w:ascii="宋体" w:hAnsi="宋体" w:cs="宋体"/>
                <w:color w:val="000000"/>
                <w:kern w:val="0"/>
                <w:sz w:val="22"/>
                <w:szCs w:val="22"/>
              </w:rPr>
            </w:pPr>
            <w:r>
              <w:rPr>
                <w:rFonts w:hint="eastAsia" w:ascii="宋体" w:hAnsi="宋体" w:cs="宋体"/>
                <w:color w:val="000000"/>
                <w:kern w:val="0"/>
                <w:sz w:val="22"/>
                <w:szCs w:val="22"/>
              </w:rPr>
              <w:t>电气工程师</w:t>
            </w:r>
          </w:p>
        </w:tc>
        <w:tc>
          <w:tcPr>
            <w:tcW w:w="2702" w:type="pct"/>
            <w:tcBorders>
              <w:top w:val="nil"/>
              <w:left w:val="nil"/>
              <w:bottom w:val="single" w:color="auto" w:sz="4" w:space="0"/>
              <w:right w:val="single" w:color="auto" w:sz="4" w:space="0"/>
              <w:tl2br w:val="nil"/>
              <w:tr2bl w:val="nil"/>
            </w:tcBorders>
            <w:noWrap/>
            <w:vAlign w:val="center"/>
          </w:tcPr>
          <w:p w14:paraId="01ED25E6">
            <w:pPr>
              <w:widowControl/>
              <w:spacing w:beforeLines="0" w:afterLines="0"/>
              <w:jc w:val="center"/>
              <w:rPr>
                <w:rFonts w:hint="default" w:ascii="宋体" w:hAnsi="宋体" w:cs="宋体"/>
                <w:color w:val="000000"/>
                <w:kern w:val="0"/>
                <w:sz w:val="22"/>
                <w:szCs w:val="22"/>
              </w:rPr>
            </w:pPr>
            <w:r>
              <w:rPr>
                <w:rFonts w:hint="eastAsia" w:ascii="宋体" w:hAnsi="宋体" w:cs="宋体"/>
                <w:color w:val="000000"/>
                <w:kern w:val="0"/>
                <w:sz w:val="22"/>
                <w:szCs w:val="22"/>
              </w:rPr>
              <w:t>电控箱电压3300V，至少6回路；具备智能化改造功能</w:t>
            </w:r>
          </w:p>
        </w:tc>
        <w:tc>
          <w:tcPr>
            <w:tcW w:w="548" w:type="pct"/>
            <w:tcBorders>
              <w:top w:val="nil"/>
              <w:left w:val="nil"/>
              <w:bottom w:val="single" w:color="auto" w:sz="4" w:space="0"/>
              <w:right w:val="single" w:color="auto" w:sz="4" w:space="0"/>
              <w:tl2br w:val="nil"/>
              <w:tr2bl w:val="nil"/>
            </w:tcBorders>
            <w:noWrap/>
            <w:vAlign w:val="center"/>
          </w:tcPr>
          <w:p w14:paraId="7C728E0C">
            <w:pPr>
              <w:widowControl/>
              <w:spacing w:beforeLines="0" w:afterLines="0"/>
              <w:jc w:val="center"/>
              <w:rPr>
                <w:rFonts w:hint="default" w:ascii="宋体" w:hAnsi="宋体" w:cs="宋体"/>
                <w:color w:val="000000"/>
                <w:kern w:val="0"/>
                <w:sz w:val="22"/>
                <w:szCs w:val="22"/>
              </w:rPr>
            </w:pPr>
            <w:r>
              <w:rPr>
                <w:rFonts w:hint="eastAsia" w:ascii="宋体" w:hAnsi="宋体" w:cs="宋体"/>
                <w:color w:val="000000"/>
                <w:kern w:val="0"/>
                <w:sz w:val="22"/>
                <w:szCs w:val="22"/>
              </w:rPr>
              <w:t>3月10日</w:t>
            </w:r>
          </w:p>
        </w:tc>
        <w:tc>
          <w:tcPr>
            <w:tcW w:w="705" w:type="pct"/>
            <w:tcBorders>
              <w:top w:val="nil"/>
              <w:left w:val="nil"/>
              <w:bottom w:val="single" w:color="auto" w:sz="4" w:space="0"/>
              <w:right w:val="single" w:color="auto" w:sz="4" w:space="0"/>
              <w:tl2br w:val="nil"/>
              <w:tr2bl w:val="nil"/>
            </w:tcBorders>
            <w:noWrap/>
            <w:vAlign w:val="center"/>
          </w:tcPr>
          <w:p w14:paraId="60262000">
            <w:pPr>
              <w:widowControl/>
              <w:spacing w:beforeLines="0" w:afterLines="0"/>
              <w:jc w:val="center"/>
              <w:rPr>
                <w:rFonts w:hint="default" w:ascii="宋体" w:hAnsi="宋体" w:cs="宋体"/>
                <w:color w:val="000000"/>
                <w:kern w:val="0"/>
                <w:sz w:val="22"/>
                <w:szCs w:val="22"/>
              </w:rPr>
            </w:pPr>
            <w:r>
              <w:rPr>
                <w:rFonts w:hint="eastAsia" w:ascii="宋体" w:hAnsi="宋体" w:cs="宋体"/>
                <w:color w:val="000000"/>
                <w:kern w:val="0"/>
                <w:sz w:val="22"/>
                <w:szCs w:val="22"/>
              </w:rPr>
              <w:t>4月10日</w:t>
            </w:r>
          </w:p>
        </w:tc>
      </w:tr>
    </w:tbl>
    <w:p w14:paraId="6FDE70BF">
      <w:pPr>
        <w:spacing w:beforeLines="0" w:afterLines="0"/>
        <w:rPr>
          <w:rFonts w:hint="default"/>
          <w:b/>
          <w:sz w:val="21"/>
          <w:szCs w:val="22"/>
        </w:rPr>
      </w:pPr>
    </w:p>
    <w:p w14:paraId="4C03C16E"/>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39D5792"/>
    <w:multiLevelType w:val="multilevel"/>
    <w:tmpl w:val="039D5792"/>
    <w:lvl w:ilvl="0" w:tentative="0">
      <w:start w:val="1"/>
      <w:numFmt w:val="decimal"/>
      <w:lvlText w:val="%1."/>
      <w:lvlJc w:val="left"/>
      <w:pPr>
        <w:ind w:left="420" w:hanging="420"/>
      </w:pPr>
      <w:rPr>
        <w:rFonts w:hint="default" w:cs="Times New Roman"/>
        <w:u w:val="none" w:color="auto"/>
      </w:rPr>
    </w:lvl>
    <w:lvl w:ilvl="1" w:tentative="0">
      <w:start w:val="1"/>
      <w:numFmt w:val="lowerLetter"/>
      <w:lvlText w:val="%2)"/>
      <w:lvlJc w:val="left"/>
      <w:pPr>
        <w:ind w:left="840" w:hanging="420"/>
      </w:pPr>
      <w:rPr>
        <w:rFonts w:hint="default" w:cs="Times New Roman"/>
        <w:u w:val="none" w:color="auto"/>
      </w:rPr>
    </w:lvl>
    <w:lvl w:ilvl="2" w:tentative="0">
      <w:start w:val="1"/>
      <w:numFmt w:val="lowerRoman"/>
      <w:lvlText w:val="%3."/>
      <w:lvlJc w:val="right"/>
      <w:pPr>
        <w:ind w:left="1260" w:hanging="420"/>
      </w:pPr>
      <w:rPr>
        <w:rFonts w:hint="default" w:cs="Times New Roman"/>
        <w:u w:val="none" w:color="auto"/>
      </w:rPr>
    </w:lvl>
    <w:lvl w:ilvl="3" w:tentative="0">
      <w:start w:val="1"/>
      <w:numFmt w:val="decimal"/>
      <w:lvlText w:val="%4."/>
      <w:lvlJc w:val="left"/>
      <w:pPr>
        <w:ind w:left="1680" w:hanging="420"/>
      </w:pPr>
      <w:rPr>
        <w:rFonts w:hint="default" w:cs="Times New Roman"/>
        <w:u w:val="none" w:color="auto"/>
      </w:rPr>
    </w:lvl>
    <w:lvl w:ilvl="4" w:tentative="0">
      <w:start w:val="1"/>
      <w:numFmt w:val="lowerLetter"/>
      <w:lvlText w:val="%5)"/>
      <w:lvlJc w:val="left"/>
      <w:pPr>
        <w:ind w:left="2100" w:hanging="420"/>
      </w:pPr>
      <w:rPr>
        <w:rFonts w:hint="default" w:cs="Times New Roman"/>
        <w:u w:val="none" w:color="auto"/>
      </w:rPr>
    </w:lvl>
    <w:lvl w:ilvl="5" w:tentative="0">
      <w:start w:val="1"/>
      <w:numFmt w:val="lowerRoman"/>
      <w:lvlText w:val="%6."/>
      <w:lvlJc w:val="right"/>
      <w:pPr>
        <w:ind w:left="2520" w:hanging="420"/>
      </w:pPr>
      <w:rPr>
        <w:rFonts w:hint="default" w:cs="Times New Roman"/>
        <w:u w:val="none" w:color="auto"/>
      </w:rPr>
    </w:lvl>
    <w:lvl w:ilvl="6" w:tentative="0">
      <w:start w:val="1"/>
      <w:numFmt w:val="decimal"/>
      <w:lvlText w:val="%7."/>
      <w:lvlJc w:val="left"/>
      <w:pPr>
        <w:ind w:left="2940" w:hanging="420"/>
      </w:pPr>
      <w:rPr>
        <w:rFonts w:hint="default" w:cs="Times New Roman"/>
        <w:u w:val="none" w:color="auto"/>
      </w:rPr>
    </w:lvl>
    <w:lvl w:ilvl="7" w:tentative="0">
      <w:start w:val="1"/>
      <w:numFmt w:val="lowerLetter"/>
      <w:lvlText w:val="%8)"/>
      <w:lvlJc w:val="left"/>
      <w:pPr>
        <w:ind w:left="3360" w:hanging="420"/>
      </w:pPr>
      <w:rPr>
        <w:rFonts w:hint="default" w:cs="Times New Roman"/>
        <w:u w:val="none" w:color="auto"/>
      </w:rPr>
    </w:lvl>
    <w:lvl w:ilvl="8" w:tentative="0">
      <w:start w:val="1"/>
      <w:numFmt w:val="lowerRoman"/>
      <w:lvlText w:val="%9."/>
      <w:lvlJc w:val="right"/>
      <w:pPr>
        <w:ind w:left="3780" w:hanging="420"/>
      </w:pPr>
      <w:rPr>
        <w:rFonts w:hint="default" w:cs="Times New Roman"/>
        <w:u w:val="none" w:color="auto"/>
      </w:rPr>
    </w:lvl>
  </w:abstractNum>
  <w:abstractNum w:abstractNumId="1">
    <w:nsid w:val="13443D1D"/>
    <w:multiLevelType w:val="multilevel"/>
    <w:tmpl w:val="13443D1D"/>
    <w:lvl w:ilvl="0" w:tentative="0">
      <w:start w:val="1"/>
      <w:numFmt w:val="decimal"/>
      <w:lvlText w:val="%1."/>
      <w:lvlJc w:val="left"/>
      <w:pPr>
        <w:ind w:left="420" w:hanging="420"/>
      </w:pPr>
      <w:rPr>
        <w:rFonts w:hint="default" w:cs="Times New Roman"/>
        <w:u w:val="none" w:color="auto"/>
      </w:rPr>
    </w:lvl>
    <w:lvl w:ilvl="1" w:tentative="0">
      <w:start w:val="1"/>
      <w:numFmt w:val="lowerLetter"/>
      <w:lvlText w:val="%2)"/>
      <w:lvlJc w:val="left"/>
      <w:pPr>
        <w:ind w:left="840" w:hanging="420"/>
      </w:pPr>
      <w:rPr>
        <w:rFonts w:hint="default" w:cs="Times New Roman"/>
        <w:u w:val="none" w:color="auto"/>
      </w:rPr>
    </w:lvl>
    <w:lvl w:ilvl="2" w:tentative="0">
      <w:start w:val="1"/>
      <w:numFmt w:val="lowerRoman"/>
      <w:lvlText w:val="%3."/>
      <w:lvlJc w:val="right"/>
      <w:pPr>
        <w:ind w:left="1260" w:hanging="420"/>
      </w:pPr>
      <w:rPr>
        <w:rFonts w:hint="default" w:cs="Times New Roman"/>
        <w:u w:val="none" w:color="auto"/>
      </w:rPr>
    </w:lvl>
    <w:lvl w:ilvl="3" w:tentative="0">
      <w:start w:val="1"/>
      <w:numFmt w:val="decimal"/>
      <w:lvlText w:val="%4."/>
      <w:lvlJc w:val="left"/>
      <w:pPr>
        <w:ind w:left="1680" w:hanging="420"/>
      </w:pPr>
      <w:rPr>
        <w:rFonts w:hint="default" w:cs="Times New Roman"/>
        <w:u w:val="none" w:color="auto"/>
      </w:rPr>
    </w:lvl>
    <w:lvl w:ilvl="4" w:tentative="0">
      <w:start w:val="1"/>
      <w:numFmt w:val="lowerLetter"/>
      <w:lvlText w:val="%5)"/>
      <w:lvlJc w:val="left"/>
      <w:pPr>
        <w:ind w:left="2100" w:hanging="420"/>
      </w:pPr>
      <w:rPr>
        <w:rFonts w:hint="default" w:cs="Times New Roman"/>
        <w:u w:val="none" w:color="auto"/>
      </w:rPr>
    </w:lvl>
    <w:lvl w:ilvl="5" w:tentative="0">
      <w:start w:val="1"/>
      <w:numFmt w:val="lowerRoman"/>
      <w:lvlText w:val="%6."/>
      <w:lvlJc w:val="right"/>
      <w:pPr>
        <w:ind w:left="2520" w:hanging="420"/>
      </w:pPr>
      <w:rPr>
        <w:rFonts w:hint="default" w:cs="Times New Roman"/>
        <w:u w:val="none" w:color="auto"/>
      </w:rPr>
    </w:lvl>
    <w:lvl w:ilvl="6" w:tentative="0">
      <w:start w:val="1"/>
      <w:numFmt w:val="decimal"/>
      <w:lvlText w:val="%7."/>
      <w:lvlJc w:val="left"/>
      <w:pPr>
        <w:ind w:left="2940" w:hanging="420"/>
      </w:pPr>
      <w:rPr>
        <w:rFonts w:hint="default" w:cs="Times New Roman"/>
        <w:u w:val="none" w:color="auto"/>
      </w:rPr>
    </w:lvl>
    <w:lvl w:ilvl="7" w:tentative="0">
      <w:start w:val="1"/>
      <w:numFmt w:val="lowerLetter"/>
      <w:lvlText w:val="%8)"/>
      <w:lvlJc w:val="left"/>
      <w:pPr>
        <w:ind w:left="3360" w:hanging="420"/>
      </w:pPr>
      <w:rPr>
        <w:rFonts w:hint="default" w:cs="Times New Roman"/>
        <w:u w:val="none" w:color="auto"/>
      </w:rPr>
    </w:lvl>
    <w:lvl w:ilvl="8" w:tentative="0">
      <w:start w:val="1"/>
      <w:numFmt w:val="lowerRoman"/>
      <w:lvlText w:val="%9."/>
      <w:lvlJc w:val="right"/>
      <w:pPr>
        <w:ind w:left="3780" w:hanging="420"/>
      </w:pPr>
      <w:rPr>
        <w:rFonts w:hint="default" w:cs="Times New Roman"/>
        <w:u w:val="none" w:color="auto"/>
      </w:rPr>
    </w:lvl>
  </w:abstractNum>
  <w:abstractNum w:abstractNumId="2">
    <w:nsid w:val="14EB2AB8"/>
    <w:multiLevelType w:val="multilevel"/>
    <w:tmpl w:val="14EB2AB8"/>
    <w:lvl w:ilvl="0" w:tentative="0">
      <w:start w:val="1"/>
      <w:numFmt w:val="chineseCountingThousand"/>
      <w:lvlText w:val="(%1)"/>
      <w:lvlJc w:val="left"/>
      <w:pPr>
        <w:ind w:left="420" w:hanging="420"/>
      </w:pPr>
      <w:rPr>
        <w:rFonts w:hint="default" w:cs="Times New Roman"/>
        <w:u w:val="none" w:color="auto"/>
      </w:rPr>
    </w:lvl>
    <w:lvl w:ilvl="1" w:tentative="0">
      <w:start w:val="1"/>
      <w:numFmt w:val="lowerLetter"/>
      <w:lvlText w:val="%2)"/>
      <w:lvlJc w:val="left"/>
      <w:pPr>
        <w:ind w:left="840" w:hanging="420"/>
      </w:pPr>
      <w:rPr>
        <w:rFonts w:hint="default" w:cs="Times New Roman"/>
        <w:u w:val="none" w:color="auto"/>
      </w:rPr>
    </w:lvl>
    <w:lvl w:ilvl="2" w:tentative="0">
      <w:start w:val="1"/>
      <w:numFmt w:val="lowerRoman"/>
      <w:lvlText w:val="%3."/>
      <w:lvlJc w:val="right"/>
      <w:pPr>
        <w:ind w:left="1260" w:hanging="420"/>
      </w:pPr>
      <w:rPr>
        <w:rFonts w:hint="default" w:cs="Times New Roman"/>
        <w:u w:val="none" w:color="auto"/>
      </w:rPr>
    </w:lvl>
    <w:lvl w:ilvl="3" w:tentative="0">
      <w:start w:val="1"/>
      <w:numFmt w:val="decimal"/>
      <w:lvlText w:val="%4."/>
      <w:lvlJc w:val="left"/>
      <w:pPr>
        <w:ind w:left="1680" w:hanging="420"/>
      </w:pPr>
      <w:rPr>
        <w:rFonts w:hint="default" w:cs="Times New Roman"/>
        <w:u w:val="none" w:color="auto"/>
      </w:rPr>
    </w:lvl>
    <w:lvl w:ilvl="4" w:tentative="0">
      <w:start w:val="1"/>
      <w:numFmt w:val="lowerLetter"/>
      <w:lvlText w:val="%5)"/>
      <w:lvlJc w:val="left"/>
      <w:pPr>
        <w:ind w:left="2100" w:hanging="420"/>
      </w:pPr>
      <w:rPr>
        <w:rFonts w:hint="default" w:cs="Times New Roman"/>
        <w:u w:val="none" w:color="auto"/>
      </w:rPr>
    </w:lvl>
    <w:lvl w:ilvl="5" w:tentative="0">
      <w:start w:val="1"/>
      <w:numFmt w:val="lowerRoman"/>
      <w:lvlText w:val="%6."/>
      <w:lvlJc w:val="right"/>
      <w:pPr>
        <w:ind w:left="2520" w:hanging="420"/>
      </w:pPr>
      <w:rPr>
        <w:rFonts w:hint="default" w:cs="Times New Roman"/>
        <w:u w:val="none" w:color="auto"/>
      </w:rPr>
    </w:lvl>
    <w:lvl w:ilvl="6" w:tentative="0">
      <w:start w:val="1"/>
      <w:numFmt w:val="decimal"/>
      <w:lvlText w:val="%7."/>
      <w:lvlJc w:val="left"/>
      <w:pPr>
        <w:ind w:left="2940" w:hanging="420"/>
      </w:pPr>
      <w:rPr>
        <w:rFonts w:hint="default" w:cs="Times New Roman"/>
        <w:u w:val="none" w:color="auto"/>
      </w:rPr>
    </w:lvl>
    <w:lvl w:ilvl="7" w:tentative="0">
      <w:start w:val="1"/>
      <w:numFmt w:val="lowerLetter"/>
      <w:lvlText w:val="%8)"/>
      <w:lvlJc w:val="left"/>
      <w:pPr>
        <w:ind w:left="3360" w:hanging="420"/>
      </w:pPr>
      <w:rPr>
        <w:rFonts w:hint="default" w:cs="Times New Roman"/>
        <w:u w:val="none" w:color="auto"/>
      </w:rPr>
    </w:lvl>
    <w:lvl w:ilvl="8" w:tentative="0">
      <w:start w:val="1"/>
      <w:numFmt w:val="lowerRoman"/>
      <w:lvlText w:val="%9."/>
      <w:lvlJc w:val="right"/>
      <w:pPr>
        <w:ind w:left="3780" w:hanging="420"/>
      </w:pPr>
      <w:rPr>
        <w:rFonts w:hint="default" w:cs="Times New Roman"/>
        <w:u w:val="none" w:color="auto"/>
      </w:rPr>
    </w:lvl>
  </w:abstractNum>
  <w:abstractNum w:abstractNumId="3">
    <w:nsid w:val="17E271D0"/>
    <w:multiLevelType w:val="multilevel"/>
    <w:tmpl w:val="17E271D0"/>
    <w:lvl w:ilvl="0" w:tentative="0">
      <w:start w:val="1"/>
      <w:numFmt w:val="decimal"/>
      <w:lvlText w:val="%1."/>
      <w:lvlJc w:val="left"/>
      <w:pPr>
        <w:ind w:left="360" w:hanging="360"/>
      </w:pPr>
      <w:rPr>
        <w:rFonts w:hint="default" w:cs="Times New Roman"/>
        <w:u w:val="none" w:color="auto"/>
      </w:rPr>
    </w:lvl>
    <w:lvl w:ilvl="1" w:tentative="0">
      <w:start w:val="1"/>
      <w:numFmt w:val="lowerLetter"/>
      <w:lvlText w:val="%2)"/>
      <w:lvlJc w:val="left"/>
      <w:pPr>
        <w:ind w:left="840" w:hanging="420"/>
      </w:pPr>
      <w:rPr>
        <w:rFonts w:hint="default" w:cs="Times New Roman"/>
        <w:u w:val="none" w:color="auto"/>
      </w:rPr>
    </w:lvl>
    <w:lvl w:ilvl="2" w:tentative="0">
      <w:start w:val="1"/>
      <w:numFmt w:val="lowerRoman"/>
      <w:lvlText w:val="%3."/>
      <w:lvlJc w:val="right"/>
      <w:pPr>
        <w:ind w:left="1260" w:hanging="420"/>
      </w:pPr>
      <w:rPr>
        <w:rFonts w:hint="default" w:cs="Times New Roman"/>
        <w:u w:val="none" w:color="auto"/>
      </w:rPr>
    </w:lvl>
    <w:lvl w:ilvl="3" w:tentative="0">
      <w:start w:val="1"/>
      <w:numFmt w:val="decimal"/>
      <w:lvlText w:val="%4."/>
      <w:lvlJc w:val="left"/>
      <w:pPr>
        <w:ind w:left="1680" w:hanging="420"/>
      </w:pPr>
      <w:rPr>
        <w:rFonts w:hint="default" w:cs="Times New Roman"/>
        <w:u w:val="none" w:color="auto"/>
      </w:rPr>
    </w:lvl>
    <w:lvl w:ilvl="4" w:tentative="0">
      <w:start w:val="1"/>
      <w:numFmt w:val="lowerLetter"/>
      <w:lvlText w:val="%5)"/>
      <w:lvlJc w:val="left"/>
      <w:pPr>
        <w:ind w:left="2100" w:hanging="420"/>
      </w:pPr>
      <w:rPr>
        <w:rFonts w:hint="default" w:cs="Times New Roman"/>
        <w:u w:val="none" w:color="auto"/>
      </w:rPr>
    </w:lvl>
    <w:lvl w:ilvl="5" w:tentative="0">
      <w:start w:val="1"/>
      <w:numFmt w:val="lowerRoman"/>
      <w:lvlText w:val="%6."/>
      <w:lvlJc w:val="right"/>
      <w:pPr>
        <w:ind w:left="2520" w:hanging="420"/>
      </w:pPr>
      <w:rPr>
        <w:rFonts w:hint="default" w:cs="Times New Roman"/>
        <w:u w:val="none" w:color="auto"/>
      </w:rPr>
    </w:lvl>
    <w:lvl w:ilvl="6" w:tentative="0">
      <w:start w:val="1"/>
      <w:numFmt w:val="decimal"/>
      <w:lvlText w:val="%7."/>
      <w:lvlJc w:val="left"/>
      <w:pPr>
        <w:ind w:left="2940" w:hanging="420"/>
      </w:pPr>
      <w:rPr>
        <w:rFonts w:hint="default" w:cs="Times New Roman"/>
        <w:u w:val="none" w:color="auto"/>
      </w:rPr>
    </w:lvl>
    <w:lvl w:ilvl="7" w:tentative="0">
      <w:start w:val="1"/>
      <w:numFmt w:val="lowerLetter"/>
      <w:lvlText w:val="%8)"/>
      <w:lvlJc w:val="left"/>
      <w:pPr>
        <w:ind w:left="3360" w:hanging="420"/>
      </w:pPr>
      <w:rPr>
        <w:rFonts w:hint="default" w:cs="Times New Roman"/>
        <w:u w:val="none" w:color="auto"/>
      </w:rPr>
    </w:lvl>
    <w:lvl w:ilvl="8" w:tentative="0">
      <w:start w:val="1"/>
      <w:numFmt w:val="lowerRoman"/>
      <w:lvlText w:val="%9."/>
      <w:lvlJc w:val="right"/>
      <w:pPr>
        <w:ind w:left="3780" w:hanging="420"/>
      </w:pPr>
      <w:rPr>
        <w:rFonts w:hint="default" w:cs="Times New Roman"/>
        <w:u w:val="none" w:color="auto"/>
      </w:rPr>
    </w:lvl>
  </w:abstractNum>
  <w:abstractNum w:abstractNumId="4">
    <w:nsid w:val="23570ABF"/>
    <w:multiLevelType w:val="multilevel"/>
    <w:tmpl w:val="23570ABF"/>
    <w:lvl w:ilvl="0" w:tentative="0">
      <w:start w:val="1"/>
      <w:numFmt w:val="decimal"/>
      <w:lvlText w:val="%1."/>
      <w:lvlJc w:val="left"/>
      <w:pPr>
        <w:ind w:left="420" w:hanging="420"/>
      </w:pPr>
      <w:rPr>
        <w:rFonts w:hint="default" w:cs="Times New Roman"/>
        <w:u w:val="none" w:color="auto"/>
      </w:rPr>
    </w:lvl>
    <w:lvl w:ilvl="1" w:tentative="0">
      <w:start w:val="1"/>
      <w:numFmt w:val="lowerLetter"/>
      <w:lvlText w:val="%2)"/>
      <w:lvlJc w:val="left"/>
      <w:pPr>
        <w:ind w:left="840" w:hanging="420"/>
      </w:pPr>
      <w:rPr>
        <w:rFonts w:hint="default" w:cs="Times New Roman"/>
        <w:u w:val="none" w:color="auto"/>
      </w:rPr>
    </w:lvl>
    <w:lvl w:ilvl="2" w:tentative="0">
      <w:start w:val="1"/>
      <w:numFmt w:val="lowerRoman"/>
      <w:lvlText w:val="%3."/>
      <w:lvlJc w:val="right"/>
      <w:pPr>
        <w:ind w:left="1260" w:hanging="420"/>
      </w:pPr>
      <w:rPr>
        <w:rFonts w:hint="default" w:cs="Times New Roman"/>
        <w:u w:val="none" w:color="auto"/>
      </w:rPr>
    </w:lvl>
    <w:lvl w:ilvl="3" w:tentative="0">
      <w:start w:val="1"/>
      <w:numFmt w:val="decimal"/>
      <w:lvlText w:val="%4."/>
      <w:lvlJc w:val="left"/>
      <w:pPr>
        <w:ind w:left="1680" w:hanging="420"/>
      </w:pPr>
      <w:rPr>
        <w:rFonts w:hint="default" w:cs="Times New Roman"/>
        <w:u w:val="none" w:color="auto"/>
      </w:rPr>
    </w:lvl>
    <w:lvl w:ilvl="4" w:tentative="0">
      <w:start w:val="1"/>
      <w:numFmt w:val="lowerLetter"/>
      <w:lvlText w:val="%5)"/>
      <w:lvlJc w:val="left"/>
      <w:pPr>
        <w:ind w:left="2100" w:hanging="420"/>
      </w:pPr>
      <w:rPr>
        <w:rFonts w:hint="default" w:cs="Times New Roman"/>
        <w:u w:val="none" w:color="auto"/>
      </w:rPr>
    </w:lvl>
    <w:lvl w:ilvl="5" w:tentative="0">
      <w:start w:val="1"/>
      <w:numFmt w:val="lowerRoman"/>
      <w:lvlText w:val="%6."/>
      <w:lvlJc w:val="right"/>
      <w:pPr>
        <w:ind w:left="2520" w:hanging="420"/>
      </w:pPr>
      <w:rPr>
        <w:rFonts w:hint="default" w:cs="Times New Roman"/>
        <w:u w:val="none" w:color="auto"/>
      </w:rPr>
    </w:lvl>
    <w:lvl w:ilvl="6" w:tentative="0">
      <w:start w:val="1"/>
      <w:numFmt w:val="decimal"/>
      <w:lvlText w:val="%7."/>
      <w:lvlJc w:val="left"/>
      <w:pPr>
        <w:ind w:left="2940" w:hanging="420"/>
      </w:pPr>
      <w:rPr>
        <w:rFonts w:hint="default" w:cs="Times New Roman"/>
        <w:u w:val="none" w:color="auto"/>
      </w:rPr>
    </w:lvl>
    <w:lvl w:ilvl="7" w:tentative="0">
      <w:start w:val="1"/>
      <w:numFmt w:val="lowerLetter"/>
      <w:lvlText w:val="%8)"/>
      <w:lvlJc w:val="left"/>
      <w:pPr>
        <w:ind w:left="3360" w:hanging="420"/>
      </w:pPr>
      <w:rPr>
        <w:rFonts w:hint="default" w:cs="Times New Roman"/>
        <w:u w:val="none" w:color="auto"/>
      </w:rPr>
    </w:lvl>
    <w:lvl w:ilvl="8" w:tentative="0">
      <w:start w:val="1"/>
      <w:numFmt w:val="lowerRoman"/>
      <w:lvlText w:val="%9."/>
      <w:lvlJc w:val="right"/>
      <w:pPr>
        <w:ind w:left="3780" w:hanging="420"/>
      </w:pPr>
      <w:rPr>
        <w:rFonts w:hint="default" w:cs="Times New Roman"/>
        <w:u w:val="none" w:color="auto"/>
      </w:rPr>
    </w:lvl>
  </w:abstractNum>
  <w:abstractNum w:abstractNumId="5">
    <w:nsid w:val="30EF7023"/>
    <w:multiLevelType w:val="multilevel"/>
    <w:tmpl w:val="30EF7023"/>
    <w:lvl w:ilvl="0" w:tentative="0">
      <w:start w:val="1"/>
      <w:numFmt w:val="decimal"/>
      <w:lvlText w:val="%1."/>
      <w:lvlJc w:val="left"/>
      <w:pPr>
        <w:ind w:left="420" w:hanging="420"/>
      </w:pPr>
      <w:rPr>
        <w:rFonts w:hint="default" w:cs="Times New Roman"/>
        <w:u w:val="none" w:color="auto"/>
      </w:rPr>
    </w:lvl>
    <w:lvl w:ilvl="1" w:tentative="0">
      <w:start w:val="1"/>
      <w:numFmt w:val="lowerLetter"/>
      <w:lvlText w:val="%2)"/>
      <w:lvlJc w:val="left"/>
      <w:pPr>
        <w:ind w:left="840" w:hanging="420"/>
      </w:pPr>
      <w:rPr>
        <w:rFonts w:hint="default" w:cs="Times New Roman"/>
        <w:u w:val="none" w:color="auto"/>
      </w:rPr>
    </w:lvl>
    <w:lvl w:ilvl="2" w:tentative="0">
      <w:start w:val="1"/>
      <w:numFmt w:val="lowerRoman"/>
      <w:lvlText w:val="%3."/>
      <w:lvlJc w:val="right"/>
      <w:pPr>
        <w:ind w:left="1260" w:hanging="420"/>
      </w:pPr>
      <w:rPr>
        <w:rFonts w:hint="default" w:cs="Times New Roman"/>
        <w:u w:val="none" w:color="auto"/>
      </w:rPr>
    </w:lvl>
    <w:lvl w:ilvl="3" w:tentative="0">
      <w:start w:val="1"/>
      <w:numFmt w:val="decimal"/>
      <w:lvlText w:val="%4."/>
      <w:lvlJc w:val="left"/>
      <w:pPr>
        <w:ind w:left="1680" w:hanging="420"/>
      </w:pPr>
      <w:rPr>
        <w:rFonts w:hint="default" w:cs="Times New Roman"/>
        <w:u w:val="none" w:color="auto"/>
      </w:rPr>
    </w:lvl>
    <w:lvl w:ilvl="4" w:tentative="0">
      <w:start w:val="1"/>
      <w:numFmt w:val="lowerLetter"/>
      <w:lvlText w:val="%5)"/>
      <w:lvlJc w:val="left"/>
      <w:pPr>
        <w:ind w:left="2100" w:hanging="420"/>
      </w:pPr>
      <w:rPr>
        <w:rFonts w:hint="default" w:cs="Times New Roman"/>
        <w:u w:val="none" w:color="auto"/>
      </w:rPr>
    </w:lvl>
    <w:lvl w:ilvl="5" w:tentative="0">
      <w:start w:val="1"/>
      <w:numFmt w:val="lowerRoman"/>
      <w:lvlText w:val="%6."/>
      <w:lvlJc w:val="right"/>
      <w:pPr>
        <w:ind w:left="2520" w:hanging="420"/>
      </w:pPr>
      <w:rPr>
        <w:rFonts w:hint="default" w:cs="Times New Roman"/>
        <w:u w:val="none" w:color="auto"/>
      </w:rPr>
    </w:lvl>
    <w:lvl w:ilvl="6" w:tentative="0">
      <w:start w:val="1"/>
      <w:numFmt w:val="decimal"/>
      <w:lvlText w:val="%7."/>
      <w:lvlJc w:val="left"/>
      <w:pPr>
        <w:ind w:left="2940" w:hanging="420"/>
      </w:pPr>
      <w:rPr>
        <w:rFonts w:hint="default" w:cs="Times New Roman"/>
        <w:u w:val="none" w:color="auto"/>
      </w:rPr>
    </w:lvl>
    <w:lvl w:ilvl="7" w:tentative="0">
      <w:start w:val="1"/>
      <w:numFmt w:val="lowerLetter"/>
      <w:lvlText w:val="%8)"/>
      <w:lvlJc w:val="left"/>
      <w:pPr>
        <w:ind w:left="3360" w:hanging="420"/>
      </w:pPr>
      <w:rPr>
        <w:rFonts w:hint="default" w:cs="Times New Roman"/>
        <w:u w:val="none" w:color="auto"/>
      </w:rPr>
    </w:lvl>
    <w:lvl w:ilvl="8" w:tentative="0">
      <w:start w:val="1"/>
      <w:numFmt w:val="lowerRoman"/>
      <w:lvlText w:val="%9."/>
      <w:lvlJc w:val="right"/>
      <w:pPr>
        <w:ind w:left="3780" w:hanging="420"/>
      </w:pPr>
      <w:rPr>
        <w:rFonts w:hint="default" w:cs="Times New Roman"/>
        <w:u w:val="none" w:color="auto"/>
      </w:rPr>
    </w:lvl>
  </w:abstractNum>
  <w:abstractNum w:abstractNumId="6">
    <w:nsid w:val="35DC7659"/>
    <w:multiLevelType w:val="multilevel"/>
    <w:tmpl w:val="35DC7659"/>
    <w:lvl w:ilvl="0" w:tentative="0">
      <w:start w:val="1"/>
      <w:numFmt w:val="decimal"/>
      <w:lvlText w:val="%1."/>
      <w:lvlJc w:val="left"/>
      <w:pPr>
        <w:ind w:left="420" w:hanging="420"/>
      </w:pPr>
      <w:rPr>
        <w:rFonts w:hint="default" w:cs="Times New Roman"/>
        <w:u w:val="none" w:color="auto"/>
      </w:rPr>
    </w:lvl>
    <w:lvl w:ilvl="1" w:tentative="0">
      <w:start w:val="1"/>
      <w:numFmt w:val="lowerLetter"/>
      <w:lvlText w:val="%2)"/>
      <w:lvlJc w:val="left"/>
      <w:pPr>
        <w:ind w:left="840" w:hanging="420"/>
      </w:pPr>
      <w:rPr>
        <w:rFonts w:hint="default" w:cs="Times New Roman"/>
        <w:u w:val="none" w:color="auto"/>
      </w:rPr>
    </w:lvl>
    <w:lvl w:ilvl="2" w:tentative="0">
      <w:start w:val="1"/>
      <w:numFmt w:val="lowerRoman"/>
      <w:lvlText w:val="%3."/>
      <w:lvlJc w:val="right"/>
      <w:pPr>
        <w:ind w:left="1260" w:hanging="420"/>
      </w:pPr>
      <w:rPr>
        <w:rFonts w:hint="default" w:cs="Times New Roman"/>
        <w:u w:val="none" w:color="auto"/>
      </w:rPr>
    </w:lvl>
    <w:lvl w:ilvl="3" w:tentative="0">
      <w:start w:val="1"/>
      <w:numFmt w:val="decimal"/>
      <w:lvlText w:val="%4."/>
      <w:lvlJc w:val="left"/>
      <w:pPr>
        <w:ind w:left="1680" w:hanging="420"/>
      </w:pPr>
      <w:rPr>
        <w:rFonts w:hint="default" w:cs="Times New Roman"/>
        <w:u w:val="none" w:color="auto"/>
      </w:rPr>
    </w:lvl>
    <w:lvl w:ilvl="4" w:tentative="0">
      <w:start w:val="1"/>
      <w:numFmt w:val="lowerLetter"/>
      <w:lvlText w:val="%5)"/>
      <w:lvlJc w:val="left"/>
      <w:pPr>
        <w:ind w:left="2100" w:hanging="420"/>
      </w:pPr>
      <w:rPr>
        <w:rFonts w:hint="default" w:cs="Times New Roman"/>
        <w:u w:val="none" w:color="auto"/>
      </w:rPr>
    </w:lvl>
    <w:lvl w:ilvl="5" w:tentative="0">
      <w:start w:val="1"/>
      <w:numFmt w:val="lowerRoman"/>
      <w:lvlText w:val="%6."/>
      <w:lvlJc w:val="right"/>
      <w:pPr>
        <w:ind w:left="2520" w:hanging="420"/>
      </w:pPr>
      <w:rPr>
        <w:rFonts w:hint="default" w:cs="Times New Roman"/>
        <w:u w:val="none" w:color="auto"/>
      </w:rPr>
    </w:lvl>
    <w:lvl w:ilvl="6" w:tentative="0">
      <w:start w:val="1"/>
      <w:numFmt w:val="decimal"/>
      <w:lvlText w:val="%7."/>
      <w:lvlJc w:val="left"/>
      <w:pPr>
        <w:ind w:left="2940" w:hanging="420"/>
      </w:pPr>
      <w:rPr>
        <w:rFonts w:hint="default" w:cs="Times New Roman"/>
        <w:u w:val="none" w:color="auto"/>
      </w:rPr>
    </w:lvl>
    <w:lvl w:ilvl="7" w:tentative="0">
      <w:start w:val="1"/>
      <w:numFmt w:val="lowerLetter"/>
      <w:lvlText w:val="%8)"/>
      <w:lvlJc w:val="left"/>
      <w:pPr>
        <w:ind w:left="3360" w:hanging="420"/>
      </w:pPr>
      <w:rPr>
        <w:rFonts w:hint="default" w:cs="Times New Roman"/>
        <w:u w:val="none" w:color="auto"/>
      </w:rPr>
    </w:lvl>
    <w:lvl w:ilvl="8" w:tentative="0">
      <w:start w:val="1"/>
      <w:numFmt w:val="lowerRoman"/>
      <w:lvlText w:val="%9."/>
      <w:lvlJc w:val="right"/>
      <w:pPr>
        <w:ind w:left="3780" w:hanging="420"/>
      </w:pPr>
      <w:rPr>
        <w:rFonts w:hint="default" w:cs="Times New Roman"/>
        <w:u w:val="none" w:color="auto"/>
      </w:rPr>
    </w:lvl>
  </w:abstractNum>
  <w:abstractNum w:abstractNumId="7">
    <w:nsid w:val="487D18B1"/>
    <w:multiLevelType w:val="multilevel"/>
    <w:tmpl w:val="487D18B1"/>
    <w:lvl w:ilvl="0" w:tentative="0">
      <w:start w:val="1"/>
      <w:numFmt w:val="decimal"/>
      <w:lvlText w:val="%1."/>
      <w:lvlJc w:val="left"/>
      <w:pPr>
        <w:ind w:left="360" w:hanging="360"/>
      </w:pPr>
      <w:rPr>
        <w:rFonts w:hint="default" w:cs="Times New Roman"/>
        <w:u w:val="none" w:color="auto"/>
      </w:rPr>
    </w:lvl>
    <w:lvl w:ilvl="1" w:tentative="0">
      <w:start w:val="1"/>
      <w:numFmt w:val="lowerLetter"/>
      <w:lvlText w:val="%2)"/>
      <w:lvlJc w:val="left"/>
      <w:pPr>
        <w:ind w:left="840" w:hanging="420"/>
      </w:pPr>
      <w:rPr>
        <w:rFonts w:hint="default" w:cs="Times New Roman"/>
        <w:u w:val="none" w:color="auto"/>
      </w:rPr>
    </w:lvl>
    <w:lvl w:ilvl="2" w:tentative="0">
      <w:start w:val="1"/>
      <w:numFmt w:val="lowerRoman"/>
      <w:lvlText w:val="%3."/>
      <w:lvlJc w:val="right"/>
      <w:pPr>
        <w:ind w:left="1260" w:hanging="420"/>
      </w:pPr>
      <w:rPr>
        <w:rFonts w:hint="default" w:cs="Times New Roman"/>
        <w:u w:val="none" w:color="auto"/>
      </w:rPr>
    </w:lvl>
    <w:lvl w:ilvl="3" w:tentative="0">
      <w:start w:val="1"/>
      <w:numFmt w:val="decimal"/>
      <w:lvlText w:val="%4."/>
      <w:lvlJc w:val="left"/>
      <w:pPr>
        <w:ind w:left="1680" w:hanging="420"/>
      </w:pPr>
      <w:rPr>
        <w:rFonts w:hint="default" w:cs="Times New Roman"/>
        <w:u w:val="none" w:color="auto"/>
      </w:rPr>
    </w:lvl>
    <w:lvl w:ilvl="4" w:tentative="0">
      <w:start w:val="1"/>
      <w:numFmt w:val="lowerLetter"/>
      <w:lvlText w:val="%5)"/>
      <w:lvlJc w:val="left"/>
      <w:pPr>
        <w:ind w:left="2100" w:hanging="420"/>
      </w:pPr>
      <w:rPr>
        <w:rFonts w:hint="default" w:cs="Times New Roman"/>
        <w:u w:val="none" w:color="auto"/>
      </w:rPr>
    </w:lvl>
    <w:lvl w:ilvl="5" w:tentative="0">
      <w:start w:val="1"/>
      <w:numFmt w:val="lowerRoman"/>
      <w:lvlText w:val="%6."/>
      <w:lvlJc w:val="right"/>
      <w:pPr>
        <w:ind w:left="2520" w:hanging="420"/>
      </w:pPr>
      <w:rPr>
        <w:rFonts w:hint="default" w:cs="Times New Roman"/>
        <w:u w:val="none" w:color="auto"/>
      </w:rPr>
    </w:lvl>
    <w:lvl w:ilvl="6" w:tentative="0">
      <w:start w:val="1"/>
      <w:numFmt w:val="decimal"/>
      <w:lvlText w:val="%7."/>
      <w:lvlJc w:val="left"/>
      <w:pPr>
        <w:ind w:left="2940" w:hanging="420"/>
      </w:pPr>
      <w:rPr>
        <w:rFonts w:hint="default" w:cs="Times New Roman"/>
        <w:u w:val="none" w:color="auto"/>
      </w:rPr>
    </w:lvl>
    <w:lvl w:ilvl="7" w:tentative="0">
      <w:start w:val="1"/>
      <w:numFmt w:val="lowerLetter"/>
      <w:lvlText w:val="%8)"/>
      <w:lvlJc w:val="left"/>
      <w:pPr>
        <w:ind w:left="3360" w:hanging="420"/>
      </w:pPr>
      <w:rPr>
        <w:rFonts w:hint="default" w:cs="Times New Roman"/>
        <w:u w:val="none" w:color="auto"/>
      </w:rPr>
    </w:lvl>
    <w:lvl w:ilvl="8" w:tentative="0">
      <w:start w:val="1"/>
      <w:numFmt w:val="lowerRoman"/>
      <w:lvlText w:val="%9."/>
      <w:lvlJc w:val="right"/>
      <w:pPr>
        <w:ind w:left="3780" w:hanging="420"/>
      </w:pPr>
      <w:rPr>
        <w:rFonts w:hint="default" w:cs="Times New Roman"/>
        <w:u w:val="none" w:color="auto"/>
      </w:rPr>
    </w:lvl>
  </w:abstractNum>
  <w:abstractNum w:abstractNumId="8">
    <w:nsid w:val="49702381"/>
    <w:multiLevelType w:val="multilevel"/>
    <w:tmpl w:val="49702381"/>
    <w:lvl w:ilvl="0" w:tentative="0">
      <w:start w:val="1"/>
      <w:numFmt w:val="decimal"/>
      <w:lvlText w:val="%1."/>
      <w:lvlJc w:val="left"/>
      <w:pPr>
        <w:ind w:left="360" w:hanging="360"/>
      </w:pPr>
      <w:rPr>
        <w:rFonts w:hint="default" w:cs="Times New Roman"/>
        <w:u w:val="none" w:color="auto"/>
      </w:rPr>
    </w:lvl>
    <w:lvl w:ilvl="1" w:tentative="0">
      <w:start w:val="1"/>
      <w:numFmt w:val="lowerLetter"/>
      <w:lvlText w:val="%2)"/>
      <w:lvlJc w:val="left"/>
      <w:pPr>
        <w:ind w:left="840" w:hanging="420"/>
      </w:pPr>
      <w:rPr>
        <w:rFonts w:hint="default" w:cs="Times New Roman"/>
        <w:u w:val="none" w:color="auto"/>
      </w:rPr>
    </w:lvl>
    <w:lvl w:ilvl="2" w:tentative="0">
      <w:start w:val="1"/>
      <w:numFmt w:val="lowerRoman"/>
      <w:lvlText w:val="%3."/>
      <w:lvlJc w:val="right"/>
      <w:pPr>
        <w:ind w:left="1260" w:hanging="420"/>
      </w:pPr>
      <w:rPr>
        <w:rFonts w:hint="default" w:cs="Times New Roman"/>
        <w:u w:val="none" w:color="auto"/>
      </w:rPr>
    </w:lvl>
    <w:lvl w:ilvl="3" w:tentative="0">
      <w:start w:val="1"/>
      <w:numFmt w:val="decimal"/>
      <w:lvlText w:val="%4."/>
      <w:lvlJc w:val="left"/>
      <w:pPr>
        <w:ind w:left="1680" w:hanging="420"/>
      </w:pPr>
      <w:rPr>
        <w:rFonts w:hint="default" w:cs="Times New Roman"/>
        <w:u w:val="none" w:color="auto"/>
      </w:rPr>
    </w:lvl>
    <w:lvl w:ilvl="4" w:tentative="0">
      <w:start w:val="1"/>
      <w:numFmt w:val="lowerLetter"/>
      <w:lvlText w:val="%5)"/>
      <w:lvlJc w:val="left"/>
      <w:pPr>
        <w:ind w:left="2100" w:hanging="420"/>
      </w:pPr>
      <w:rPr>
        <w:rFonts w:hint="default" w:cs="Times New Roman"/>
        <w:u w:val="none" w:color="auto"/>
      </w:rPr>
    </w:lvl>
    <w:lvl w:ilvl="5" w:tentative="0">
      <w:start w:val="1"/>
      <w:numFmt w:val="lowerRoman"/>
      <w:lvlText w:val="%6."/>
      <w:lvlJc w:val="right"/>
      <w:pPr>
        <w:ind w:left="2520" w:hanging="420"/>
      </w:pPr>
      <w:rPr>
        <w:rFonts w:hint="default" w:cs="Times New Roman"/>
        <w:u w:val="none" w:color="auto"/>
      </w:rPr>
    </w:lvl>
    <w:lvl w:ilvl="6" w:tentative="0">
      <w:start w:val="1"/>
      <w:numFmt w:val="decimal"/>
      <w:lvlText w:val="%7."/>
      <w:lvlJc w:val="left"/>
      <w:pPr>
        <w:ind w:left="2940" w:hanging="420"/>
      </w:pPr>
      <w:rPr>
        <w:rFonts w:hint="default" w:cs="Times New Roman"/>
        <w:u w:val="none" w:color="auto"/>
      </w:rPr>
    </w:lvl>
    <w:lvl w:ilvl="7" w:tentative="0">
      <w:start w:val="1"/>
      <w:numFmt w:val="lowerLetter"/>
      <w:lvlText w:val="%8)"/>
      <w:lvlJc w:val="left"/>
      <w:pPr>
        <w:ind w:left="3360" w:hanging="420"/>
      </w:pPr>
      <w:rPr>
        <w:rFonts w:hint="default" w:cs="Times New Roman"/>
        <w:u w:val="none" w:color="auto"/>
      </w:rPr>
    </w:lvl>
    <w:lvl w:ilvl="8" w:tentative="0">
      <w:start w:val="1"/>
      <w:numFmt w:val="lowerRoman"/>
      <w:lvlText w:val="%9."/>
      <w:lvlJc w:val="right"/>
      <w:pPr>
        <w:ind w:left="3780" w:hanging="420"/>
      </w:pPr>
      <w:rPr>
        <w:rFonts w:hint="default" w:cs="Times New Roman"/>
        <w:u w:val="none" w:color="auto"/>
      </w:rPr>
    </w:lvl>
  </w:abstractNum>
  <w:abstractNum w:abstractNumId="9">
    <w:nsid w:val="56F35EF3"/>
    <w:multiLevelType w:val="multilevel"/>
    <w:tmpl w:val="56F35EF3"/>
    <w:lvl w:ilvl="0" w:tentative="0">
      <w:start w:val="1"/>
      <w:numFmt w:val="decimal"/>
      <w:lvlText w:val="%1."/>
      <w:lvlJc w:val="left"/>
      <w:pPr>
        <w:ind w:left="360" w:hanging="360"/>
      </w:pPr>
      <w:rPr>
        <w:rFonts w:hint="default" w:cs="Times New Roman"/>
        <w:u w:val="none" w:color="auto"/>
      </w:rPr>
    </w:lvl>
    <w:lvl w:ilvl="1" w:tentative="0">
      <w:start w:val="1"/>
      <w:numFmt w:val="lowerLetter"/>
      <w:lvlText w:val="%2)"/>
      <w:lvlJc w:val="left"/>
      <w:pPr>
        <w:ind w:left="840" w:hanging="420"/>
      </w:pPr>
      <w:rPr>
        <w:rFonts w:hint="default" w:cs="Times New Roman"/>
        <w:u w:val="none" w:color="auto"/>
      </w:rPr>
    </w:lvl>
    <w:lvl w:ilvl="2" w:tentative="0">
      <w:start w:val="1"/>
      <w:numFmt w:val="lowerRoman"/>
      <w:lvlText w:val="%3."/>
      <w:lvlJc w:val="right"/>
      <w:pPr>
        <w:ind w:left="1260" w:hanging="420"/>
      </w:pPr>
      <w:rPr>
        <w:rFonts w:hint="default" w:cs="Times New Roman"/>
        <w:u w:val="none" w:color="auto"/>
      </w:rPr>
    </w:lvl>
    <w:lvl w:ilvl="3" w:tentative="0">
      <w:start w:val="1"/>
      <w:numFmt w:val="decimal"/>
      <w:lvlText w:val="%4."/>
      <w:lvlJc w:val="left"/>
      <w:pPr>
        <w:ind w:left="1680" w:hanging="420"/>
      </w:pPr>
      <w:rPr>
        <w:rFonts w:hint="default" w:cs="Times New Roman"/>
        <w:u w:val="none" w:color="auto"/>
      </w:rPr>
    </w:lvl>
    <w:lvl w:ilvl="4" w:tentative="0">
      <w:start w:val="1"/>
      <w:numFmt w:val="lowerLetter"/>
      <w:lvlText w:val="%5)"/>
      <w:lvlJc w:val="left"/>
      <w:pPr>
        <w:ind w:left="2100" w:hanging="420"/>
      </w:pPr>
      <w:rPr>
        <w:rFonts w:hint="default" w:cs="Times New Roman"/>
        <w:u w:val="none" w:color="auto"/>
      </w:rPr>
    </w:lvl>
    <w:lvl w:ilvl="5" w:tentative="0">
      <w:start w:val="1"/>
      <w:numFmt w:val="lowerRoman"/>
      <w:lvlText w:val="%6."/>
      <w:lvlJc w:val="right"/>
      <w:pPr>
        <w:ind w:left="2520" w:hanging="420"/>
      </w:pPr>
      <w:rPr>
        <w:rFonts w:hint="default" w:cs="Times New Roman"/>
        <w:u w:val="none" w:color="auto"/>
      </w:rPr>
    </w:lvl>
    <w:lvl w:ilvl="6" w:tentative="0">
      <w:start w:val="1"/>
      <w:numFmt w:val="decimal"/>
      <w:lvlText w:val="%7."/>
      <w:lvlJc w:val="left"/>
      <w:pPr>
        <w:ind w:left="2940" w:hanging="420"/>
      </w:pPr>
      <w:rPr>
        <w:rFonts w:hint="default" w:cs="Times New Roman"/>
        <w:u w:val="none" w:color="auto"/>
      </w:rPr>
    </w:lvl>
    <w:lvl w:ilvl="7" w:tentative="0">
      <w:start w:val="1"/>
      <w:numFmt w:val="lowerLetter"/>
      <w:lvlText w:val="%8)"/>
      <w:lvlJc w:val="left"/>
      <w:pPr>
        <w:ind w:left="3360" w:hanging="420"/>
      </w:pPr>
      <w:rPr>
        <w:rFonts w:hint="default" w:cs="Times New Roman"/>
        <w:u w:val="none" w:color="auto"/>
      </w:rPr>
    </w:lvl>
    <w:lvl w:ilvl="8" w:tentative="0">
      <w:start w:val="1"/>
      <w:numFmt w:val="lowerRoman"/>
      <w:lvlText w:val="%9."/>
      <w:lvlJc w:val="right"/>
      <w:pPr>
        <w:ind w:left="3780" w:hanging="420"/>
      </w:pPr>
      <w:rPr>
        <w:rFonts w:hint="default" w:cs="Times New Roman"/>
        <w:u w:val="none" w:color="auto"/>
      </w:rPr>
    </w:lvl>
  </w:abstractNum>
  <w:abstractNum w:abstractNumId="10">
    <w:nsid w:val="5B30017A"/>
    <w:multiLevelType w:val="multilevel"/>
    <w:tmpl w:val="5B30017A"/>
    <w:lvl w:ilvl="0" w:tentative="0">
      <w:start w:val="1"/>
      <w:numFmt w:val="decimal"/>
      <w:lvlText w:val="%1."/>
      <w:lvlJc w:val="left"/>
      <w:pPr>
        <w:ind w:left="360" w:hanging="360"/>
      </w:pPr>
      <w:rPr>
        <w:rFonts w:hint="default" w:cs="Times New Roman"/>
        <w:u w:val="none" w:color="auto"/>
      </w:rPr>
    </w:lvl>
    <w:lvl w:ilvl="1" w:tentative="0">
      <w:start w:val="1"/>
      <w:numFmt w:val="lowerLetter"/>
      <w:lvlText w:val="%2)"/>
      <w:lvlJc w:val="left"/>
      <w:pPr>
        <w:ind w:left="840" w:hanging="420"/>
      </w:pPr>
      <w:rPr>
        <w:rFonts w:hint="default" w:cs="Times New Roman"/>
        <w:u w:val="none" w:color="auto"/>
      </w:rPr>
    </w:lvl>
    <w:lvl w:ilvl="2" w:tentative="0">
      <w:start w:val="1"/>
      <w:numFmt w:val="lowerRoman"/>
      <w:lvlText w:val="%3."/>
      <w:lvlJc w:val="right"/>
      <w:pPr>
        <w:ind w:left="1260" w:hanging="420"/>
      </w:pPr>
      <w:rPr>
        <w:rFonts w:hint="default" w:cs="Times New Roman"/>
        <w:u w:val="none" w:color="auto"/>
      </w:rPr>
    </w:lvl>
    <w:lvl w:ilvl="3" w:tentative="0">
      <w:start w:val="1"/>
      <w:numFmt w:val="decimal"/>
      <w:lvlText w:val="%4."/>
      <w:lvlJc w:val="left"/>
      <w:pPr>
        <w:ind w:left="1680" w:hanging="420"/>
      </w:pPr>
      <w:rPr>
        <w:rFonts w:hint="default" w:cs="Times New Roman"/>
        <w:u w:val="none" w:color="auto"/>
      </w:rPr>
    </w:lvl>
    <w:lvl w:ilvl="4" w:tentative="0">
      <w:start w:val="1"/>
      <w:numFmt w:val="lowerLetter"/>
      <w:lvlText w:val="%5)"/>
      <w:lvlJc w:val="left"/>
      <w:pPr>
        <w:ind w:left="2100" w:hanging="420"/>
      </w:pPr>
      <w:rPr>
        <w:rFonts w:hint="default" w:cs="Times New Roman"/>
        <w:u w:val="none" w:color="auto"/>
      </w:rPr>
    </w:lvl>
    <w:lvl w:ilvl="5" w:tentative="0">
      <w:start w:val="1"/>
      <w:numFmt w:val="lowerRoman"/>
      <w:lvlText w:val="%6."/>
      <w:lvlJc w:val="right"/>
      <w:pPr>
        <w:ind w:left="2520" w:hanging="420"/>
      </w:pPr>
      <w:rPr>
        <w:rFonts w:hint="default" w:cs="Times New Roman"/>
        <w:u w:val="none" w:color="auto"/>
      </w:rPr>
    </w:lvl>
    <w:lvl w:ilvl="6" w:tentative="0">
      <w:start w:val="1"/>
      <w:numFmt w:val="decimal"/>
      <w:lvlText w:val="%7."/>
      <w:lvlJc w:val="left"/>
      <w:pPr>
        <w:ind w:left="2940" w:hanging="420"/>
      </w:pPr>
      <w:rPr>
        <w:rFonts w:hint="default" w:cs="Times New Roman"/>
        <w:u w:val="none" w:color="auto"/>
      </w:rPr>
    </w:lvl>
    <w:lvl w:ilvl="7" w:tentative="0">
      <w:start w:val="1"/>
      <w:numFmt w:val="lowerLetter"/>
      <w:lvlText w:val="%8)"/>
      <w:lvlJc w:val="left"/>
      <w:pPr>
        <w:ind w:left="3360" w:hanging="420"/>
      </w:pPr>
      <w:rPr>
        <w:rFonts w:hint="default" w:cs="Times New Roman"/>
        <w:u w:val="none" w:color="auto"/>
      </w:rPr>
    </w:lvl>
    <w:lvl w:ilvl="8" w:tentative="0">
      <w:start w:val="1"/>
      <w:numFmt w:val="lowerRoman"/>
      <w:lvlText w:val="%9."/>
      <w:lvlJc w:val="right"/>
      <w:pPr>
        <w:ind w:left="3780" w:hanging="420"/>
      </w:pPr>
      <w:rPr>
        <w:rFonts w:hint="default" w:cs="Times New Roman"/>
        <w:u w:val="none" w:color="auto"/>
      </w:rPr>
    </w:lvl>
  </w:abstractNum>
  <w:abstractNum w:abstractNumId="11">
    <w:nsid w:val="5E1A56F0"/>
    <w:multiLevelType w:val="multilevel"/>
    <w:tmpl w:val="5E1A56F0"/>
    <w:lvl w:ilvl="0" w:tentative="0">
      <w:start w:val="1"/>
      <w:numFmt w:val="decimal"/>
      <w:lvlText w:val="%1."/>
      <w:lvlJc w:val="left"/>
      <w:pPr>
        <w:ind w:left="360" w:hanging="360"/>
      </w:pPr>
      <w:rPr>
        <w:rFonts w:hint="default" w:cs="Times New Roman"/>
        <w:u w:val="none" w:color="auto"/>
      </w:rPr>
    </w:lvl>
    <w:lvl w:ilvl="1" w:tentative="0">
      <w:start w:val="1"/>
      <w:numFmt w:val="lowerLetter"/>
      <w:lvlText w:val="%2)"/>
      <w:lvlJc w:val="left"/>
      <w:pPr>
        <w:ind w:left="840" w:hanging="420"/>
      </w:pPr>
      <w:rPr>
        <w:rFonts w:hint="default" w:cs="Times New Roman"/>
        <w:u w:val="none" w:color="auto"/>
      </w:rPr>
    </w:lvl>
    <w:lvl w:ilvl="2" w:tentative="0">
      <w:start w:val="1"/>
      <w:numFmt w:val="lowerRoman"/>
      <w:lvlText w:val="%3."/>
      <w:lvlJc w:val="right"/>
      <w:pPr>
        <w:ind w:left="1260" w:hanging="420"/>
      </w:pPr>
      <w:rPr>
        <w:rFonts w:hint="default" w:cs="Times New Roman"/>
        <w:u w:val="none" w:color="auto"/>
      </w:rPr>
    </w:lvl>
    <w:lvl w:ilvl="3" w:tentative="0">
      <w:start w:val="1"/>
      <w:numFmt w:val="decimal"/>
      <w:lvlText w:val="%4."/>
      <w:lvlJc w:val="left"/>
      <w:pPr>
        <w:ind w:left="1680" w:hanging="420"/>
      </w:pPr>
      <w:rPr>
        <w:rFonts w:hint="default" w:cs="Times New Roman"/>
        <w:u w:val="none" w:color="auto"/>
      </w:rPr>
    </w:lvl>
    <w:lvl w:ilvl="4" w:tentative="0">
      <w:start w:val="1"/>
      <w:numFmt w:val="lowerLetter"/>
      <w:lvlText w:val="%5)"/>
      <w:lvlJc w:val="left"/>
      <w:pPr>
        <w:ind w:left="2100" w:hanging="420"/>
      </w:pPr>
      <w:rPr>
        <w:rFonts w:hint="default" w:cs="Times New Roman"/>
        <w:u w:val="none" w:color="auto"/>
      </w:rPr>
    </w:lvl>
    <w:lvl w:ilvl="5" w:tentative="0">
      <w:start w:val="1"/>
      <w:numFmt w:val="lowerRoman"/>
      <w:lvlText w:val="%6."/>
      <w:lvlJc w:val="right"/>
      <w:pPr>
        <w:ind w:left="2520" w:hanging="420"/>
      </w:pPr>
      <w:rPr>
        <w:rFonts w:hint="default" w:cs="Times New Roman"/>
        <w:u w:val="none" w:color="auto"/>
      </w:rPr>
    </w:lvl>
    <w:lvl w:ilvl="6" w:tentative="0">
      <w:start w:val="1"/>
      <w:numFmt w:val="decimal"/>
      <w:lvlText w:val="%7."/>
      <w:lvlJc w:val="left"/>
      <w:pPr>
        <w:ind w:left="2940" w:hanging="420"/>
      </w:pPr>
      <w:rPr>
        <w:rFonts w:hint="default" w:cs="Times New Roman"/>
        <w:u w:val="none" w:color="auto"/>
      </w:rPr>
    </w:lvl>
    <w:lvl w:ilvl="7" w:tentative="0">
      <w:start w:val="1"/>
      <w:numFmt w:val="lowerLetter"/>
      <w:lvlText w:val="%8)"/>
      <w:lvlJc w:val="left"/>
      <w:pPr>
        <w:ind w:left="3360" w:hanging="420"/>
      </w:pPr>
      <w:rPr>
        <w:rFonts w:hint="default" w:cs="Times New Roman"/>
        <w:u w:val="none" w:color="auto"/>
      </w:rPr>
    </w:lvl>
    <w:lvl w:ilvl="8" w:tentative="0">
      <w:start w:val="1"/>
      <w:numFmt w:val="lowerRoman"/>
      <w:lvlText w:val="%9."/>
      <w:lvlJc w:val="right"/>
      <w:pPr>
        <w:ind w:left="3780" w:hanging="420"/>
      </w:pPr>
      <w:rPr>
        <w:rFonts w:hint="default" w:cs="Times New Roman"/>
        <w:u w:val="none" w:color="auto"/>
      </w:rPr>
    </w:lvl>
  </w:abstractNum>
  <w:abstractNum w:abstractNumId="12">
    <w:nsid w:val="63FD2427"/>
    <w:multiLevelType w:val="multilevel"/>
    <w:tmpl w:val="63FD2427"/>
    <w:lvl w:ilvl="0" w:tentative="0">
      <w:start w:val="1"/>
      <w:numFmt w:val="decimal"/>
      <w:lvlText w:val="%1."/>
      <w:lvlJc w:val="left"/>
      <w:pPr>
        <w:ind w:left="360" w:hanging="360"/>
      </w:pPr>
      <w:rPr>
        <w:rFonts w:hint="default" w:cs="Times New Roman"/>
        <w:u w:val="none" w:color="auto"/>
      </w:rPr>
    </w:lvl>
    <w:lvl w:ilvl="1" w:tentative="0">
      <w:start w:val="1"/>
      <w:numFmt w:val="lowerLetter"/>
      <w:lvlText w:val="%2)"/>
      <w:lvlJc w:val="left"/>
      <w:pPr>
        <w:ind w:left="840" w:hanging="420"/>
      </w:pPr>
      <w:rPr>
        <w:rFonts w:hint="default" w:cs="Times New Roman"/>
        <w:u w:val="none" w:color="auto"/>
      </w:rPr>
    </w:lvl>
    <w:lvl w:ilvl="2" w:tentative="0">
      <w:start w:val="1"/>
      <w:numFmt w:val="lowerRoman"/>
      <w:lvlText w:val="%3."/>
      <w:lvlJc w:val="right"/>
      <w:pPr>
        <w:ind w:left="1260" w:hanging="420"/>
      </w:pPr>
      <w:rPr>
        <w:rFonts w:hint="default" w:cs="Times New Roman"/>
        <w:u w:val="none" w:color="auto"/>
      </w:rPr>
    </w:lvl>
    <w:lvl w:ilvl="3" w:tentative="0">
      <w:start w:val="1"/>
      <w:numFmt w:val="decimal"/>
      <w:lvlText w:val="%4."/>
      <w:lvlJc w:val="left"/>
      <w:pPr>
        <w:ind w:left="1680" w:hanging="420"/>
      </w:pPr>
      <w:rPr>
        <w:rFonts w:hint="default" w:cs="Times New Roman"/>
        <w:u w:val="none" w:color="auto"/>
      </w:rPr>
    </w:lvl>
    <w:lvl w:ilvl="4" w:tentative="0">
      <w:start w:val="1"/>
      <w:numFmt w:val="lowerLetter"/>
      <w:lvlText w:val="%5)"/>
      <w:lvlJc w:val="left"/>
      <w:pPr>
        <w:ind w:left="2100" w:hanging="420"/>
      </w:pPr>
      <w:rPr>
        <w:rFonts w:hint="default" w:cs="Times New Roman"/>
        <w:u w:val="none" w:color="auto"/>
      </w:rPr>
    </w:lvl>
    <w:lvl w:ilvl="5" w:tentative="0">
      <w:start w:val="1"/>
      <w:numFmt w:val="lowerRoman"/>
      <w:lvlText w:val="%6."/>
      <w:lvlJc w:val="right"/>
      <w:pPr>
        <w:ind w:left="2520" w:hanging="420"/>
      </w:pPr>
      <w:rPr>
        <w:rFonts w:hint="default" w:cs="Times New Roman"/>
        <w:u w:val="none" w:color="auto"/>
      </w:rPr>
    </w:lvl>
    <w:lvl w:ilvl="6" w:tentative="0">
      <w:start w:val="1"/>
      <w:numFmt w:val="decimal"/>
      <w:lvlText w:val="%7."/>
      <w:lvlJc w:val="left"/>
      <w:pPr>
        <w:ind w:left="2940" w:hanging="420"/>
      </w:pPr>
      <w:rPr>
        <w:rFonts w:hint="default" w:cs="Times New Roman"/>
        <w:u w:val="none" w:color="auto"/>
      </w:rPr>
    </w:lvl>
    <w:lvl w:ilvl="7" w:tentative="0">
      <w:start w:val="1"/>
      <w:numFmt w:val="lowerLetter"/>
      <w:lvlText w:val="%8)"/>
      <w:lvlJc w:val="left"/>
      <w:pPr>
        <w:ind w:left="3360" w:hanging="420"/>
      </w:pPr>
      <w:rPr>
        <w:rFonts w:hint="default" w:cs="Times New Roman"/>
        <w:u w:val="none" w:color="auto"/>
      </w:rPr>
    </w:lvl>
    <w:lvl w:ilvl="8" w:tentative="0">
      <w:start w:val="1"/>
      <w:numFmt w:val="lowerRoman"/>
      <w:lvlText w:val="%9."/>
      <w:lvlJc w:val="right"/>
      <w:pPr>
        <w:ind w:left="3780" w:hanging="420"/>
      </w:pPr>
      <w:rPr>
        <w:rFonts w:hint="default" w:cs="Times New Roman"/>
        <w:u w:val="none" w:color="auto"/>
      </w:rPr>
    </w:lvl>
  </w:abstractNum>
  <w:abstractNum w:abstractNumId="13">
    <w:nsid w:val="6D122AAF"/>
    <w:multiLevelType w:val="multilevel"/>
    <w:tmpl w:val="6D122AAF"/>
    <w:lvl w:ilvl="0" w:tentative="0">
      <w:start w:val="1"/>
      <w:numFmt w:val="decimal"/>
      <w:lvlText w:val="%1."/>
      <w:lvlJc w:val="left"/>
      <w:pPr>
        <w:ind w:left="360" w:hanging="360"/>
      </w:pPr>
      <w:rPr>
        <w:rFonts w:hint="default" w:cs="Times New Roman"/>
        <w:u w:val="none" w:color="auto"/>
      </w:rPr>
    </w:lvl>
    <w:lvl w:ilvl="1" w:tentative="0">
      <w:start w:val="1"/>
      <w:numFmt w:val="lowerLetter"/>
      <w:lvlText w:val="%2)"/>
      <w:lvlJc w:val="left"/>
      <w:pPr>
        <w:ind w:left="840" w:hanging="420"/>
      </w:pPr>
      <w:rPr>
        <w:rFonts w:hint="default" w:cs="Times New Roman"/>
        <w:u w:val="none" w:color="auto"/>
      </w:rPr>
    </w:lvl>
    <w:lvl w:ilvl="2" w:tentative="0">
      <w:start w:val="1"/>
      <w:numFmt w:val="lowerRoman"/>
      <w:lvlText w:val="%3."/>
      <w:lvlJc w:val="right"/>
      <w:pPr>
        <w:ind w:left="1260" w:hanging="420"/>
      </w:pPr>
      <w:rPr>
        <w:rFonts w:hint="default" w:cs="Times New Roman"/>
        <w:u w:val="none" w:color="auto"/>
      </w:rPr>
    </w:lvl>
    <w:lvl w:ilvl="3" w:tentative="0">
      <w:start w:val="1"/>
      <w:numFmt w:val="decimal"/>
      <w:lvlText w:val="%4."/>
      <w:lvlJc w:val="left"/>
      <w:pPr>
        <w:ind w:left="1680" w:hanging="420"/>
      </w:pPr>
      <w:rPr>
        <w:rFonts w:hint="default" w:cs="Times New Roman"/>
        <w:u w:val="none" w:color="auto"/>
      </w:rPr>
    </w:lvl>
    <w:lvl w:ilvl="4" w:tentative="0">
      <w:start w:val="1"/>
      <w:numFmt w:val="lowerLetter"/>
      <w:lvlText w:val="%5)"/>
      <w:lvlJc w:val="left"/>
      <w:pPr>
        <w:ind w:left="2100" w:hanging="420"/>
      </w:pPr>
      <w:rPr>
        <w:rFonts w:hint="default" w:cs="Times New Roman"/>
        <w:u w:val="none" w:color="auto"/>
      </w:rPr>
    </w:lvl>
    <w:lvl w:ilvl="5" w:tentative="0">
      <w:start w:val="1"/>
      <w:numFmt w:val="lowerRoman"/>
      <w:lvlText w:val="%6."/>
      <w:lvlJc w:val="right"/>
      <w:pPr>
        <w:ind w:left="2520" w:hanging="420"/>
      </w:pPr>
      <w:rPr>
        <w:rFonts w:hint="default" w:cs="Times New Roman"/>
        <w:u w:val="none" w:color="auto"/>
      </w:rPr>
    </w:lvl>
    <w:lvl w:ilvl="6" w:tentative="0">
      <w:start w:val="1"/>
      <w:numFmt w:val="decimal"/>
      <w:lvlText w:val="%7."/>
      <w:lvlJc w:val="left"/>
      <w:pPr>
        <w:ind w:left="2940" w:hanging="420"/>
      </w:pPr>
      <w:rPr>
        <w:rFonts w:hint="default" w:cs="Times New Roman"/>
        <w:u w:val="none" w:color="auto"/>
      </w:rPr>
    </w:lvl>
    <w:lvl w:ilvl="7" w:tentative="0">
      <w:start w:val="1"/>
      <w:numFmt w:val="lowerLetter"/>
      <w:lvlText w:val="%8)"/>
      <w:lvlJc w:val="left"/>
      <w:pPr>
        <w:ind w:left="3360" w:hanging="420"/>
      </w:pPr>
      <w:rPr>
        <w:rFonts w:hint="default" w:cs="Times New Roman"/>
        <w:u w:val="none" w:color="auto"/>
      </w:rPr>
    </w:lvl>
    <w:lvl w:ilvl="8" w:tentative="0">
      <w:start w:val="1"/>
      <w:numFmt w:val="lowerRoman"/>
      <w:lvlText w:val="%9."/>
      <w:lvlJc w:val="right"/>
      <w:pPr>
        <w:ind w:left="3780" w:hanging="420"/>
      </w:pPr>
      <w:rPr>
        <w:rFonts w:hint="default" w:cs="Times New Roman"/>
        <w:u w:val="none" w:color="auto"/>
      </w:rPr>
    </w:lvl>
  </w:abstractNum>
  <w:abstractNum w:abstractNumId="14">
    <w:nsid w:val="726852E0"/>
    <w:multiLevelType w:val="multilevel"/>
    <w:tmpl w:val="726852E0"/>
    <w:lvl w:ilvl="0" w:tentative="0">
      <w:start w:val="1"/>
      <w:numFmt w:val="decimal"/>
      <w:lvlText w:val="%1."/>
      <w:lvlJc w:val="left"/>
      <w:pPr>
        <w:ind w:left="360" w:hanging="360"/>
      </w:pPr>
      <w:rPr>
        <w:rFonts w:hint="default" w:cs="Times New Roman"/>
        <w:u w:val="none" w:color="auto"/>
      </w:rPr>
    </w:lvl>
    <w:lvl w:ilvl="1" w:tentative="0">
      <w:start w:val="1"/>
      <w:numFmt w:val="lowerLetter"/>
      <w:lvlText w:val="%2)"/>
      <w:lvlJc w:val="left"/>
      <w:pPr>
        <w:ind w:left="840" w:hanging="420"/>
      </w:pPr>
      <w:rPr>
        <w:rFonts w:hint="default" w:cs="Times New Roman"/>
        <w:u w:val="none" w:color="auto"/>
      </w:rPr>
    </w:lvl>
    <w:lvl w:ilvl="2" w:tentative="0">
      <w:start w:val="1"/>
      <w:numFmt w:val="lowerRoman"/>
      <w:lvlText w:val="%3."/>
      <w:lvlJc w:val="right"/>
      <w:pPr>
        <w:ind w:left="1260" w:hanging="420"/>
      </w:pPr>
      <w:rPr>
        <w:rFonts w:hint="default" w:cs="Times New Roman"/>
        <w:u w:val="none" w:color="auto"/>
      </w:rPr>
    </w:lvl>
    <w:lvl w:ilvl="3" w:tentative="0">
      <w:start w:val="1"/>
      <w:numFmt w:val="decimal"/>
      <w:lvlText w:val="%4."/>
      <w:lvlJc w:val="left"/>
      <w:pPr>
        <w:ind w:left="1680" w:hanging="420"/>
      </w:pPr>
      <w:rPr>
        <w:rFonts w:hint="default" w:cs="Times New Roman"/>
        <w:u w:val="none" w:color="auto"/>
      </w:rPr>
    </w:lvl>
    <w:lvl w:ilvl="4" w:tentative="0">
      <w:start w:val="1"/>
      <w:numFmt w:val="lowerLetter"/>
      <w:lvlText w:val="%5)"/>
      <w:lvlJc w:val="left"/>
      <w:pPr>
        <w:ind w:left="2100" w:hanging="420"/>
      </w:pPr>
      <w:rPr>
        <w:rFonts w:hint="default" w:cs="Times New Roman"/>
        <w:u w:val="none" w:color="auto"/>
      </w:rPr>
    </w:lvl>
    <w:lvl w:ilvl="5" w:tentative="0">
      <w:start w:val="1"/>
      <w:numFmt w:val="lowerRoman"/>
      <w:lvlText w:val="%6."/>
      <w:lvlJc w:val="right"/>
      <w:pPr>
        <w:ind w:left="2520" w:hanging="420"/>
      </w:pPr>
      <w:rPr>
        <w:rFonts w:hint="default" w:cs="Times New Roman"/>
        <w:u w:val="none" w:color="auto"/>
      </w:rPr>
    </w:lvl>
    <w:lvl w:ilvl="6" w:tentative="0">
      <w:start w:val="1"/>
      <w:numFmt w:val="decimal"/>
      <w:lvlText w:val="%7."/>
      <w:lvlJc w:val="left"/>
      <w:pPr>
        <w:ind w:left="2940" w:hanging="420"/>
      </w:pPr>
      <w:rPr>
        <w:rFonts w:hint="default" w:cs="Times New Roman"/>
        <w:u w:val="none" w:color="auto"/>
      </w:rPr>
    </w:lvl>
    <w:lvl w:ilvl="7" w:tentative="0">
      <w:start w:val="1"/>
      <w:numFmt w:val="lowerLetter"/>
      <w:lvlText w:val="%8)"/>
      <w:lvlJc w:val="left"/>
      <w:pPr>
        <w:ind w:left="3360" w:hanging="420"/>
      </w:pPr>
      <w:rPr>
        <w:rFonts w:hint="default" w:cs="Times New Roman"/>
        <w:u w:val="none" w:color="auto"/>
      </w:rPr>
    </w:lvl>
    <w:lvl w:ilvl="8" w:tentative="0">
      <w:start w:val="1"/>
      <w:numFmt w:val="lowerRoman"/>
      <w:lvlText w:val="%9."/>
      <w:lvlJc w:val="right"/>
      <w:pPr>
        <w:ind w:left="3780" w:hanging="420"/>
      </w:pPr>
      <w:rPr>
        <w:rFonts w:hint="default" w:cs="Times New Roman"/>
        <w:u w:val="none" w:color="auto"/>
      </w:rPr>
    </w:lvl>
  </w:abstractNum>
  <w:num w:numId="1">
    <w:abstractNumId w:val="9"/>
  </w:num>
  <w:num w:numId="2">
    <w:abstractNumId w:val="2"/>
  </w:num>
  <w:num w:numId="3">
    <w:abstractNumId w:val="11"/>
  </w:num>
  <w:num w:numId="4">
    <w:abstractNumId w:val="3"/>
  </w:num>
  <w:num w:numId="5">
    <w:abstractNumId w:val="10"/>
  </w:num>
  <w:num w:numId="6">
    <w:abstractNumId w:val="14"/>
  </w:num>
  <w:num w:numId="7">
    <w:abstractNumId w:val="13"/>
  </w:num>
  <w:num w:numId="8">
    <w:abstractNumId w:val="7"/>
  </w:num>
  <w:num w:numId="9">
    <w:abstractNumId w:val="4"/>
  </w:num>
  <w:num w:numId="10">
    <w:abstractNumId w:val="1"/>
  </w:num>
  <w:num w:numId="11">
    <w:abstractNumId w:val="8"/>
  </w:num>
  <w:num w:numId="12">
    <w:abstractNumId w:val="12"/>
  </w:num>
  <w:num w:numId="13">
    <w:abstractNumId w:val="0"/>
  </w:num>
  <w:num w:numId="14">
    <w:abstractNumId w:val="6"/>
  </w:num>
  <w:num w:numId="1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6BBA41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nhideWhenUsed/>
    <w:qFormat/>
    <w:uiPriority w:val="0"/>
    <w:pPr>
      <w:widowControl w:val="0"/>
      <w:spacing w:beforeLines="0" w:afterLines="0"/>
      <w:jc w:val="both"/>
    </w:pPr>
    <w:rPr>
      <w:rFonts w:hint="eastAsia" w:ascii="Calibri" w:hAnsi="Calibri" w:eastAsia="宋体" w:cs="Times New Roman"/>
      <w:kern w:val="2"/>
      <w:sz w:val="21"/>
      <w:szCs w:val="22"/>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paragraph" w:styleId="4">
    <w:name w:val="List Paragraph"/>
    <w:basedOn w:val="1"/>
    <w:unhideWhenUsed/>
    <w:qFormat/>
    <w:uiPriority w:val="34"/>
    <w:pPr>
      <w:spacing w:beforeLines="0" w:afterLines="0"/>
      <w:ind w:firstLine="420" w:firstLineChars="200"/>
    </w:pPr>
    <w:rPr>
      <w:rFonts w:hint="eastAsia"/>
      <w:sz w:val="21"/>
      <w:szCs w:val="2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0</Words>
  <Characters>0</Characters>
  <Lines>0</Lines>
  <Paragraphs>0</Paragraphs>
  <TotalTime>2</TotalTime>
  <ScaleCrop>false</ScaleCrop>
  <LinksUpToDate>false</LinksUpToDate>
  <CharactersWithSpaces>0</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2025-01-07T06:49:27Z</dcterms:created>
  <dc:creator>Charles</dc:creator>
  <cp:lastModifiedBy>黑猫警长</cp:lastModifiedBy>
  <dcterms:modified xsi:type="dcterms:W3CDTF">2025-01-07T06:51:31Z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KSOTemplateDocerSaveRecord">
    <vt:lpwstr>eyJoZGlkIjoiYWJmZDMzNzFkNDhmM2RlMzJiNjQyODNlZmMxYzg4Y2YiLCJ1c2VySWQiOiIyNDc1NjE5NjEifQ==</vt:lpwstr>
  </property>
  <property fmtid="{D5CDD505-2E9C-101B-9397-08002B2CF9AE}" pid="4" name="ICV">
    <vt:lpwstr>43D9937F9C524F1386D1C54054753C69_12</vt:lpwstr>
  </property>
</Properties>
</file>